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" w:type="dxa"/>
        <w:jc w:val="left"/>
        <w:tblInd w:w="-743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000"/>
      </w:tblPr>
      <w:tblGrid>
        <w:gridCol w:w="1277"/>
        <w:gridCol w:w="8788"/>
        <w:gridCol w:w="5528"/>
        <w:tblGridChange w:id="0">
          <w:tblGrid>
            <w:gridCol w:w="1277"/>
            <w:gridCol w:w="8788"/>
            <w:gridCol w:w="5528"/>
          </w:tblGrid>
        </w:tblGridChange>
      </w:tblGrid>
      <w:tr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Soluciones a las tareas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70c0" w:space="0" w:sz="1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d0d0d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vertAlign w:val="baseline"/>
                <w:rtl w:val="0"/>
              </w:rPr>
              <w:t xml:space="preserve">Qué tarea enviar y cómo hacerlo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CORRECCIÓN ACTIVIDADES DESDE DÍA 18 AL 22 DE MAYO: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- Repaso de páginas 2, 3 y 4 de la presentación Tema 10.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- Actividades de repaso de Vocabulario página 169, actividades 1, 2 y 3.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Copia las expresiones: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Tomarme el pelo: Burlarse de mí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No eches en saco roto: No olvides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c.</w:t>
              <w:tab/>
              <w:t xml:space="preserve">Leyó la cartilla: Le dijo lo que hizo mal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d.</w:t>
              <w:tab/>
              <w:t xml:space="preserve">Ve al grano: Decir las cosas directamente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e.</w:t>
              <w:tab/>
              <w:t xml:space="preserve">Apretarse el cinturón: Ahorrar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¿Cómo son las palabras?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HOMÓFONAS: suenan igual pero se escriben diferente y su significado es distinto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Oraciones: Hay algo detrás de aquel árbol. ¡Ay! Me duele la muela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c.</w:t>
              <w:tab/>
              <w:t xml:space="preserve">Oraciones: Los soldados se rebelaron contra el capitán. Mi madre reveló el secreto que tenía guardado.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Las palabras son COMPUESTAS: Para+rayos, para+brisas, para+choques, para+caídas.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Oraciones: Respuesta libre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- Actividades de repaso de Vocabulario página 169, actividades 4, 5 y 6.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Palabras de la familia mano: manotazo, manotear, manotada, manopla…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Copia la palabra polisémica: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Del primer grupo: PLANTA. Oraciones: Ayer regué mis plantas; Mi madre vive en la quinta planta del edificio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Del segundo grupo: COPA. Oraciones: La copa de ese árbol es muy frondosa; Mi hermana ganó la copa de campeona.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Explica los significados: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Corriente = que sea algo habitual o movimiento continuado de algo, en este caso, de la electricidad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Monos = Simios o prenda de trabajo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 Actividades 1, 2 y 3, páginas 170 y 171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Copia y subraya los adjetivos: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Precioso (adjetivo) + jilguero (sustantivo); la más alta (adjetivo) + rama (sustantivo)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Mayor (adjetivo) + hermana (sustantivo); simpática (adjetivo) y se refiere también a hermana (sustantivo)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c.</w:t>
              <w:tab/>
              <w:t xml:space="preserve">Impacientes (adjetivo) + ellas (a las que se refiere); decisivo (adjetivo) + partido (sustantivo)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d.</w:t>
              <w:tab/>
              <w:t xml:space="preserve">Famoso (adjetivo) + pueblo (sustantivo); limpísimas (adjetivo) + calles (sustantivo al que se refiere)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Cambia el género y el número: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Portera simpática; Porteras simpáticas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Niño estudioso; niños estudiosos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c.</w:t>
              <w:tab/>
              <w:t xml:space="preserve">Profesores exigentes; profesor exigente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d.</w:t>
              <w:tab/>
              <w:t xml:space="preserve">Niñas inteligentes; niña inteligente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Clasifica: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GRADO POSITIVO</w:t>
              <w:tab/>
              <w:t xml:space="preserve">GRADO COMPARATIVO</w:t>
              <w:tab/>
              <w:t xml:space="preserve">GRADO SUPERLATIVO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El kiwi amarillo es mi fruta preferida</w:t>
              <w:tab/>
              <w:t xml:space="preserve">Este edificio es tan antiguo como la catedral</w:t>
              <w:tab/>
              <w:t xml:space="preserve">El colegio de Pedro es grandísimo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Su coche es menos espacioso que el mío</w:t>
              <w:tab/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ab/>
              <w:t xml:space="preserve">Jorge es más atractivo que su hermano</w:t>
              <w:tab/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 página 172, actividades 1 y 2: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Responde: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a.</w:t>
              <w:tab/>
              <w:t xml:space="preserve">Oraciones: 8. Párrafos: 2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  <w:tab/>
              <w:t xml:space="preserve">Puntos y aparte: 1. Puntos y seguidos: 5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c.</w:t>
              <w:tab/>
              <w:t xml:space="preserve">Sí hay puntos suspensivos. Indican una enumeración incompleta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Me gustaría que me enseñaras algunos números más. (punto y seguido) Creo que esos conocimientos me pueden resultar de gran utilidad. (punto y seguido) Gracias. (punto y aparte)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El rey de la selva. (punto y final)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SE PIDE LA FICHA 1.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virgimctareas@gmail.com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Página 170-actividad 1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-20m </w:t>
              <w:tab/>
              <w:t xml:space="preserve">            </w:t>
              <w:tab/>
              <w:t xml:space="preserve">40m   </w:t>
              <w:tab/>
              <w:t xml:space="preserve">            </w:t>
              <w:tab/>
              <w:t xml:space="preserve">140m </w:t>
              <w:tab/>
              <w:t xml:space="preserve">            </w:t>
              <w:tab/>
              <w:t xml:space="preserve">250m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-300m               </w:t>
              <w:tab/>
              <w:t xml:space="preserve">400m </w:t>
              <w:tab/>
              <w:t xml:space="preserve">            </w:t>
              <w:tab/>
              <w:t xml:space="preserve">1.500m             </w:t>
              <w:tab/>
              <w:t xml:space="preserve">3.700m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-7.000m           </w:t>
              <w:tab/>
              <w:t xml:space="preserve">9.000m             </w:t>
              <w:tab/>
              <w:t xml:space="preserve">58.000m          </w:t>
              <w:tab/>
              <w:t xml:space="preserve">95.000m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Página 170-actividad 2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-35m                 </w:t>
              <w:tab/>
              <w:t xml:space="preserve">78m                   </w:t>
              <w:tab/>
              <w:t xml:space="preserve">127m                </w:t>
              <w:tab/>
              <w:t xml:space="preserve">349m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-416m               </w:t>
              <w:tab/>
              <w:t xml:space="preserve">625m                 </w:t>
              <w:tab/>
              <w:t xml:space="preserve">1.506m             </w:t>
              <w:tab/>
              <w:t xml:space="preserve">2.908m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-6.462m           </w:t>
              <w:tab/>
              <w:t xml:space="preserve">8.175m             </w:t>
              <w:tab/>
              <w:t xml:space="preserve">17.092m          </w:t>
              <w:tab/>
              <w:t xml:space="preserve">45.005m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-1.800m           </w:t>
              <w:tab/>
              <w:t xml:space="preserve">2.049m             </w:t>
              <w:tab/>
              <w:t xml:space="preserve">4.367m             </w:t>
              <w:tab/>
              <w:t xml:space="preserve">8.295m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Página 170-actividad 3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-2dam              </w:t>
              <w:tab/>
              <w:t xml:space="preserve">5dam                </w:t>
              <w:tab/>
              <w:t xml:space="preserve">8dam                </w:t>
              <w:tab/>
              <w:t xml:space="preserve">9dam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-4hm                 </w:t>
              <w:tab/>
              <w:t xml:space="preserve">6hm                   </w:t>
              <w:tab/>
              <w:t xml:space="preserve">7hm                  </w:t>
              <w:tab/>
              <w:t xml:space="preserve">8hm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-3km                 </w:t>
              <w:tab/>
              <w:t xml:space="preserve">4km                   </w:t>
              <w:tab/>
              <w:t xml:space="preserve">6km                   </w:t>
              <w:tab/>
              <w:t xml:space="preserve">8km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Página 171-actividad 4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56m = 5dam + 6m                       </w:t>
              <w:tab/>
              <w:t xml:space="preserve">            </w:t>
              <w:tab/>
              <w:t xml:space="preserve">64m = 6dam + 4m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72m = 7dam + 2m                       </w:t>
              <w:tab/>
              <w:t xml:space="preserve">            </w:t>
              <w:tab/>
              <w:t xml:space="preserve">89m = 8dam + 9m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278m = 2hm + 7dam + 8m                       </w:t>
              <w:tab/>
              <w:t xml:space="preserve">583m = 5hm + 8dam + 3m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698m = 6hm + 9dam + 8m                       </w:t>
              <w:tab/>
              <w:t xml:space="preserve">810m = 8hm + 1dam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1.367m = 1km + 3hm + 6dam + 7m      </w:t>
              <w:tab/>
              <w:t xml:space="preserve">2.876m = 2km + 8hm + 7dam + 6m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5.309m = 5km + 3hm + 9m                      </w:t>
              <w:tab/>
              <w:t xml:space="preserve">7.012m = 7km +1dam + 2m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Página 171-actividad 5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-40hm              </w:t>
              <w:tab/>
              <w:t xml:space="preserve">2hm                   </w:t>
              <w:tab/>
              <w:t xml:space="preserve">50dam              </w:t>
              <w:tab/>
              <w:t xml:space="preserve">8km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-700m               </w:t>
              <w:tab/>
              <w:t xml:space="preserve">30km                 </w:t>
              <w:tab/>
              <w:t xml:space="preserve">600dam           </w:t>
              <w:tab/>
              <w:t xml:space="preserve">15m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Página 171-actividad 6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-3hm = 300m                 </w:t>
              <w:tab/>
              <w:t xml:space="preserve">34dam = 340m              </w:t>
              <w:tab/>
              <w:t xml:space="preserve">290m = 290m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34dam &gt; 3hm &gt; 290m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-280dam = 2.800m                      </w:t>
              <w:tab/>
              <w:t xml:space="preserve">2km y 50m = 2.050m                  </w:t>
              <w:tab/>
              <w:t xml:space="preserve">2km y 7hm = 2.700m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2km y 50m &lt; 2km y 7hm &lt; 280dam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Página 173-actividad 3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-6.000m – 5.100m = 900m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-5hm x 4 = 20hm = 2km = 2.000m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-90m = 9dam </w:t>
              <w:tab/>
              <w:t xml:space="preserve">9 x 8 = 72 euros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Página 173-actividad 4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virgimctareas@gmail.com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spacing w:after="24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PÁGINA 107: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 décadas = 50 años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siglos = 300 años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 milenio = 1.000 años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Actividad 2: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 más antigua a más reciente: 750 a.C. – 25 a.C. – 12 d.C. –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33 d.C. – 99 d.C. – 1.690 d.C.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after="24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PÁGINA 111: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Actividad 1: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spacing w:after="240" w:before="240" w:lineRule="auto"/>
              <w:ind w:left="283.46456692913375" w:hanging="360"/>
              <w:jc w:val="both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 vida en el Paleolítico era muy dura. Muchas personas morían jóvenes por el frío, el hambre, las heridas o las enfermedades. Los hombres y las mujeres se agrupaban en tribus y se repartían las tareas. Eran nómadas, es</w:t>
            </w:r>
            <w:r w:rsidDel="00000000" w:rsidR="00000000" w:rsidRPr="00000000">
              <w:rPr>
                <w:rFonts w:ascii="Cambria" w:cs="Cambria" w:eastAsia="Cambria" w:hAnsi="Cambria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decir, se trasladaban de un lugar a otro en busca de alimento. 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Vivían en cuevas o en chozas que construían con ramas y pieles  de animales. Se alimentaban de la carne de los animales que cazaban y pescaban y de los frutos silvestres que recolectaban. Utilizaban la piel de los animales para vestirse y protegerse  del frío; también usaban piedras y huesos como adornos.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Descubrieron el fuego, que les permitió calentarse, iluminar  las cuevas, cocinar los alimentos y ahuyentar a los animales salvajes. Fabricaron arpones, agujas con huesos y tallaban piedras de sílex para hacer cuchillos, raspadores o puntas  de flecha.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spacing w:after="24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PÁGINA 113: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Actividad 2: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spacing w:after="240" w:before="240" w:lineRule="auto"/>
              <w:ind w:left="283.46456692913375" w:hanging="360"/>
              <w:jc w:val="both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En el Neolítico se construyeron aldeas porque se hicieron sedentarios, y al tener que cultivar las plantas y cuidar del ganado tenían que vivir cerca de los huertos y los animales. Fabricaron nuevas herramientas, como las azadas, porque las necesitaban para realizar nuevas tareas que surgieron, como cultivar la tierra. Herramientas que con el tiempo fueron perfeccionando.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HAY QUE ENVIAR TAREA DE CIENCIAS ESTA SEMANA.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ENVIAR WORKSHEET 1</w:t>
            </w:r>
          </w:p>
          <w:p w:rsidR="00000000" w:rsidDel="00000000" w:rsidP="00000000" w:rsidRDefault="00000000" w:rsidRPr="00000000" w14:paraId="00000092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teacherbelen2020@gmail.com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EL DOMINGO ENVIARÉ SOLUCIONES</w:t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PLÁSTICA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Envíar tarea hasta el 24 de mayo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Entregar las fichas del altar de la virgen y el mosaico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righ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after="240" w:before="240" w:line="256.8" w:lineRule="auto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No Hay que entregar nada ya que solo era estudiar el vocabulario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18" w:val="single"/>
              <w:left w:color="0070c0" w:space="0" w:sz="18" w:val="single"/>
              <w:bottom w:color="0070c0" w:space="0" w:sz="8" w:val="single"/>
              <w:right w:color="0070c0" w:space="0" w:sz="1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pgSz w:h="11906" w:w="16838"/>
      <w:pgMar w:bottom="1133" w:top="942" w:left="1418" w:right="1245" w:header="568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56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0</wp:posOffset>
              </wp:positionV>
              <wp:extent cx="1104265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3780000"/>
                        <a:ext cx="10692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0</wp:posOffset>
              </wp:positionV>
              <wp:extent cx="11042650" cy="381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265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hanging="567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529" w:firstLine="993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CEIP Miguel Hernández “La Cigüeña”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8879840</wp:posOffset>
          </wp:positionH>
          <wp:positionV relativeFrom="paragraph">
            <wp:posOffset>-160654</wp:posOffset>
          </wp:positionV>
          <wp:extent cx="788035" cy="6381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035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-706119</wp:posOffset>
          </wp:positionH>
          <wp:positionV relativeFrom="paragraph">
            <wp:posOffset>-324484</wp:posOffset>
          </wp:positionV>
          <wp:extent cx="879475" cy="927735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475" cy="927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529" w:firstLine="993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7152.0" w:type="dxa"/>
      <w:jc w:val="left"/>
      <w:tblInd w:w="-131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152"/>
      <w:tblGridChange w:id="0">
        <w:tblGrid>
          <w:gridCol w:w="17152"/>
        </w:tblGrid>
      </w:tblGridChange>
    </w:tblGrid>
    <w:tr>
      <w:trPr>
        <w:trHeight w:val="595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2f2f2" w:val="clear"/>
          <w:vAlign w:val="center"/>
        </w:tcPr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1529" w:firstLine="1735"/>
            <w:jc w:val="center"/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Soluciones y devolución de tareas.4º A</w:t>
          </w:r>
          <w:r w:rsidDel="00000000" w:rsidR="00000000" w:rsidRPr="00000000">
            <w:rPr>
              <w:rFonts w:ascii="Overlock" w:cs="Overlock" w:eastAsia="Overlock" w:hAnsi="Overlock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Semana del </w:t>
          </w:r>
          <w:r w:rsidDel="00000000" w:rsidR="00000000" w:rsidRPr="00000000">
            <w:rPr>
              <w:rFonts w:ascii="Overlock" w:cs="Overlock" w:eastAsia="Overlock" w:hAnsi="Overlock"/>
              <w:sz w:val="32"/>
              <w:szCs w:val="32"/>
              <w:rtl w:val="0"/>
            </w:rPr>
            <w:t xml:space="preserve">18</w:t>
          </w: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al </w:t>
          </w:r>
          <w:r w:rsidDel="00000000" w:rsidR="00000000" w:rsidRPr="00000000">
            <w:rPr>
              <w:rFonts w:ascii="Overlock" w:cs="Overlock" w:eastAsia="Overlock" w:hAnsi="Overlock"/>
              <w:sz w:val="32"/>
              <w:szCs w:val="32"/>
              <w:rtl w:val="0"/>
            </w:rPr>
            <w:t xml:space="preserve">22</w:t>
          </w:r>
          <w:r w:rsidDel="00000000" w:rsidR="00000000" w:rsidRPr="00000000">
            <w:rPr>
              <w:rFonts w:ascii="Overlock" w:cs="Overlock" w:eastAsia="Overlock" w:hAnsi="Overlock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de mayo.</w:t>
          </w:r>
        </w:p>
      </w:tc>
    </w:tr>
  </w:tbl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mailto:teacherbelen202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rgimctareas@gmail.com" TargetMode="External"/><Relationship Id="rId8" Type="http://schemas.openxmlformats.org/officeDocument/2006/relationships/hyperlink" Target="mailto:virgimctarea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ipmiguelhernandez.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cF8ioqy4R8DMNGu7bTmbQSTmg==">AMUW2mVRAmw8U3WwPu5DobzZphK8NVAMMGOHMpWhFEDDiAwSpNWDAzF0XrfonYGoX72Nn7WeUzc77UgoBuU+dGVzI2y9sLONUmH5BreEAx83RgtQRnlgQNA=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2020-04-15T18:49:00Z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