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8C" w:rsidRDefault="00F27169"/>
    <w:p w:rsidR="003B4135" w:rsidRDefault="003B4135" w:rsidP="00481B8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446624" cy="2620855"/>
            <wp:effectExtent l="19050" t="0" r="0" b="0"/>
            <wp:docPr id="4" name="Imagen 4" descr="https://www.juntadeandalucia.es/presidencia/portavoz/resources/files/2020/1/30/1580386964472blancoEst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juntadeandalucia.es/presidencia/portavoz/resources/files/2020/1/30/1580386964472blancoEstd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04" cy="26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35" w:rsidRDefault="003B4135" w:rsidP="003B413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573619" cy="2293347"/>
            <wp:effectExtent l="0" t="0" r="7531" b="0"/>
            <wp:docPr id="7" name="Imagen 7" descr="Escudo simplificado, de la Junta de Andalucí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cudo simplificado, de la Junta de Andalucía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500" cy="229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35" w:rsidRPr="003B4135" w:rsidRDefault="003B4135" w:rsidP="003B4135">
      <w:pPr>
        <w:jc w:val="center"/>
        <w:rPr>
          <w:b/>
          <w:sz w:val="44"/>
          <w:szCs w:val="44"/>
        </w:rPr>
      </w:pPr>
      <w:r w:rsidRPr="003B4135">
        <w:rPr>
          <w:b/>
          <w:sz w:val="44"/>
          <w:szCs w:val="44"/>
        </w:rPr>
        <w:t>CONSEJERÍA DE EDUCACIÓN Y DEPORTE</w:t>
      </w:r>
    </w:p>
    <w:p w:rsidR="003B4135" w:rsidRPr="003B4135" w:rsidRDefault="003B4135" w:rsidP="003B4135">
      <w:pPr>
        <w:jc w:val="center"/>
        <w:rPr>
          <w:sz w:val="40"/>
          <w:szCs w:val="40"/>
        </w:rPr>
      </w:pPr>
      <w:r w:rsidRPr="003B4135">
        <w:rPr>
          <w:sz w:val="40"/>
          <w:szCs w:val="40"/>
        </w:rPr>
        <w:t xml:space="preserve">CEIP </w:t>
      </w:r>
      <w:proofErr w:type="gramStart"/>
      <w:r w:rsidRPr="003B4135">
        <w:rPr>
          <w:sz w:val="40"/>
          <w:szCs w:val="40"/>
        </w:rPr>
        <w:t>“ NUESTRA</w:t>
      </w:r>
      <w:proofErr w:type="gramEnd"/>
      <w:r w:rsidRPr="003B4135">
        <w:rPr>
          <w:sz w:val="40"/>
          <w:szCs w:val="40"/>
        </w:rPr>
        <w:t xml:space="preserve"> SEÑORA DEL ROSARIO”</w:t>
      </w:r>
    </w:p>
    <w:p w:rsidR="003B4135" w:rsidRDefault="003B4135" w:rsidP="003B4135">
      <w:pPr>
        <w:jc w:val="center"/>
        <w:rPr>
          <w:b/>
          <w:sz w:val="56"/>
          <w:szCs w:val="56"/>
        </w:rPr>
      </w:pPr>
      <w:r w:rsidRPr="003B4135">
        <w:rPr>
          <w:b/>
          <w:sz w:val="56"/>
          <w:szCs w:val="56"/>
        </w:rPr>
        <w:t>PROYECTO EDUCATIVO</w:t>
      </w:r>
    </w:p>
    <w:p w:rsidR="003B4135" w:rsidRDefault="00481B86" w:rsidP="003B4135">
      <w:pPr>
        <w:jc w:val="center"/>
        <w:rPr>
          <w:sz w:val="44"/>
          <w:szCs w:val="44"/>
        </w:rPr>
      </w:pPr>
      <w:r>
        <w:rPr>
          <w:sz w:val="44"/>
          <w:szCs w:val="44"/>
        </w:rPr>
        <w:t>CONTEXTO</w:t>
      </w:r>
    </w:p>
    <w:p w:rsidR="00481B86" w:rsidRDefault="00481B86" w:rsidP="003B4135">
      <w:pPr>
        <w:jc w:val="center"/>
        <w:rPr>
          <w:sz w:val="44"/>
          <w:szCs w:val="44"/>
        </w:rPr>
      </w:pPr>
    </w:p>
    <w:p w:rsidR="00481B86" w:rsidRPr="003B4135" w:rsidRDefault="00481B86" w:rsidP="003B4135">
      <w:pPr>
        <w:jc w:val="center"/>
        <w:rPr>
          <w:sz w:val="44"/>
          <w:szCs w:val="44"/>
        </w:rPr>
      </w:pPr>
    </w:p>
    <w:p w:rsidR="003B4135" w:rsidRDefault="003B4135"/>
    <w:p w:rsidR="00481B86" w:rsidRDefault="00481B86"/>
    <w:p w:rsidR="00481B86" w:rsidRDefault="00481B86"/>
    <w:p w:rsidR="00481B86" w:rsidRDefault="00481B86"/>
    <w:p w:rsidR="00481B86" w:rsidRPr="00481B86" w:rsidRDefault="00481B86" w:rsidP="00481B86">
      <w:pPr>
        <w:jc w:val="center"/>
        <w:rPr>
          <w:b/>
          <w:sz w:val="36"/>
          <w:szCs w:val="36"/>
          <w:u w:val="single"/>
        </w:rPr>
      </w:pPr>
      <w:r w:rsidRPr="00481B86">
        <w:rPr>
          <w:b/>
          <w:sz w:val="36"/>
          <w:szCs w:val="36"/>
          <w:u w:val="single"/>
        </w:rPr>
        <w:t>1.- CONTEXTO</w:t>
      </w:r>
    </w:p>
    <w:p w:rsidR="00481B86" w:rsidRDefault="00481B86" w:rsidP="00481B86">
      <w:pPr>
        <w:spacing w:line="360" w:lineRule="auto"/>
      </w:pPr>
      <w:r>
        <w:rPr>
          <w:b/>
          <w:bCs/>
          <w:sz w:val="28"/>
          <w:u w:val="single"/>
        </w:rPr>
        <w:t xml:space="preserve">Entorno socioeconómico y </w:t>
      </w:r>
      <w:proofErr w:type="gramStart"/>
      <w:r>
        <w:rPr>
          <w:b/>
          <w:bCs/>
          <w:sz w:val="28"/>
          <w:u w:val="single"/>
        </w:rPr>
        <w:t>cultural .</w:t>
      </w:r>
      <w:proofErr w:type="gramEnd"/>
    </w:p>
    <w:p w:rsidR="00481B86" w:rsidRDefault="00481B86" w:rsidP="00481B86">
      <w:pPr>
        <w:pStyle w:val="Sangradetextonormal"/>
        <w:jc w:val="both"/>
      </w:pPr>
      <w:r>
        <w:t xml:space="preserve">Villanueva De San Juan es un pueblo de la Sierra Sur de Sevilla, a 100 kilómetros de la capital, limitando con las provincias de Málaga y Cádiz. Es una localidad situada en la ladera de varias sierras. </w:t>
      </w:r>
    </w:p>
    <w:p w:rsidR="00481B86" w:rsidRDefault="00481B86" w:rsidP="00481B86">
      <w:pPr>
        <w:pStyle w:val="Sangra3detindependiente"/>
        <w:jc w:val="both"/>
      </w:pPr>
      <w:r>
        <w:t>La población es de unos  mil  doscientos habitantes aproximadamente. La actividad económica se desarrolla en torno a la agricultura (olivar y cereales), algo de ganadería (pequeña cabaña de ganado lanar y cabrío; en estabulación, vacuno y porcino) y poca industria (cooperativa olivarera) , también hay gran parte de la población que se dedica a la construcción tanto a nivel local como en la provincia de Málaga (Costa del sol).Este flujo se ha visto mermado por la actual situación económica</w:t>
      </w:r>
      <w:proofErr w:type="gramStart"/>
      <w:r>
        <w:t>..</w:t>
      </w:r>
      <w:proofErr w:type="gramEnd"/>
      <w:r>
        <w:t xml:space="preserve"> Otra parte de la población es temporera: recogida de aceitunas, de melones,….con migraciones diarias al lugar de trabajo.</w:t>
      </w:r>
    </w:p>
    <w:p w:rsidR="00481B86" w:rsidRDefault="00481B86" w:rsidP="00481B86">
      <w:pPr>
        <w:ind w:firstLine="720"/>
        <w:jc w:val="both"/>
      </w:pPr>
      <w:r>
        <w:t>Hasta hace unos años destacaba especialmente el flujo estacional de trabajadores hacia las Islas Baleares y Cataluña  como empleados del sector hostelero u otras actividades relacionadas con el turismo; este número ha bajado considerablemente puesto que muchas de las familias  que emigraban han decidido establecerse de forma definitiva en  estos lugares lo que , sin duda , ha supuesto un factor determinante a la hora de analizar el descenso de población que esta localidad viene sufriendo en las últimas décadas, máxime cuando en su mayoría se trata de población joven y en edad fértil.</w:t>
      </w:r>
    </w:p>
    <w:p w:rsidR="00481B86" w:rsidRDefault="00481B86" w:rsidP="00481B86">
      <w:pPr>
        <w:ind w:firstLine="720"/>
        <w:jc w:val="both"/>
      </w:pPr>
      <w:r>
        <w:t>Como factor económico más destacado sobresale el alto número de personas que están acogidos al  PFOEA (antiguo PER).</w:t>
      </w:r>
    </w:p>
    <w:p w:rsidR="00481B86" w:rsidRDefault="00481B86" w:rsidP="00481B86">
      <w:pPr>
        <w:pStyle w:val="Sangra3detindependiente"/>
        <w:jc w:val="both"/>
      </w:pPr>
      <w:r>
        <w:t>Con respecto al reparto de la propiedad agrícola, no existen grandes propietarios y la mayor parte de la población posee pequeñas extensiones de terreno, principalmente olivar, que explotan de manera familiar y que es una ayuda para la economía de cada hogar.</w:t>
      </w:r>
    </w:p>
    <w:p w:rsidR="00481B86" w:rsidRDefault="00481B86" w:rsidP="00481B86">
      <w:pPr>
        <w:ind w:firstLine="720"/>
        <w:jc w:val="both"/>
      </w:pPr>
      <w:r>
        <w:t>En general podemos decir que el nivel socioeconómico  de Villanueva de San Juan es medio bajo si atendemos a las  estadísticas publicadas por los organismos competentes, puesto que nos situamos en los últimos lugares de la provincia por  renta  individual.</w:t>
      </w:r>
    </w:p>
    <w:p w:rsidR="00481B86" w:rsidRDefault="00481B86" w:rsidP="00481B86">
      <w:pPr>
        <w:ind w:firstLine="720"/>
        <w:jc w:val="both"/>
      </w:pPr>
      <w:r>
        <w:t xml:space="preserve">Con respecto al ambiente cultural podemos decir que este ha ido evolucionando muy favorablemente en los últimos años gracias a la posibilidad de continuar los estudios de ESO y Bachillerato en el IES Flavio </w:t>
      </w:r>
      <w:proofErr w:type="spellStart"/>
      <w:r>
        <w:t>Irnitano</w:t>
      </w:r>
      <w:proofErr w:type="spellEnd"/>
      <w:r>
        <w:t xml:space="preserve"> de la localidad cercana de  El </w:t>
      </w:r>
      <w:proofErr w:type="spellStart"/>
      <w:proofErr w:type="gramStart"/>
      <w:r>
        <w:t>Saucejo</w:t>
      </w:r>
      <w:proofErr w:type="spellEnd"/>
      <w:r>
        <w:t xml:space="preserve"> .</w:t>
      </w:r>
      <w:proofErr w:type="gramEnd"/>
    </w:p>
    <w:p w:rsidR="00481B86" w:rsidRDefault="00481B86" w:rsidP="00481B86">
      <w:pPr>
        <w:ind w:firstLine="720"/>
        <w:jc w:val="both"/>
      </w:pPr>
      <w:r>
        <w:t>Un gran porcentaje de padres / madres de los alumnos/as escolarizados en nuestro centro  tiene un nivel de estudios básicos, es decir poseen el Certificado de Escolaridad o el título de Graduado Escolar, siendo una minoría la que  ha completado los estudios de bachillerato o ha accedido a la universidad.</w:t>
      </w:r>
    </w:p>
    <w:p w:rsidR="00481B86" w:rsidRDefault="00481B86" w:rsidP="00481B86">
      <w:pPr>
        <w:ind w:firstLine="720"/>
        <w:jc w:val="both"/>
      </w:pPr>
      <w:r>
        <w:t xml:space="preserve"> Este bajo nivel académico se observa principalmente a la hora de pedir colaboración y compromiso a las familias en el seguimiento de las tareas escolares en casa.</w:t>
      </w:r>
    </w:p>
    <w:p w:rsidR="00481B86" w:rsidRDefault="00481B86" w:rsidP="00481B86">
      <w:pPr>
        <w:ind w:firstLine="720"/>
        <w:jc w:val="both"/>
      </w:pPr>
      <w:r>
        <w:t xml:space="preserve">Actualmente el pueblo cuenta con una biblioteca pública donde  también se ubica el centro </w:t>
      </w:r>
      <w:proofErr w:type="spellStart"/>
      <w:r>
        <w:t>Guadalinfo</w:t>
      </w:r>
      <w:proofErr w:type="spellEnd"/>
      <w:r>
        <w:t xml:space="preserve"> y desde donde es posible acceder al uso de ordenadores y a la conexión de internet</w:t>
      </w:r>
    </w:p>
    <w:p w:rsidR="00481B86" w:rsidRPr="00481B86" w:rsidRDefault="00481B86" w:rsidP="00481B86">
      <w:pPr>
        <w:jc w:val="both"/>
        <w:rPr>
          <w:b/>
          <w:bCs/>
          <w:sz w:val="28"/>
          <w:u w:val="single"/>
        </w:rPr>
      </w:pPr>
      <w:r>
        <w:rPr>
          <w:b/>
          <w:bCs/>
        </w:rPr>
        <w:t xml:space="preserve"> </w:t>
      </w:r>
      <w:r>
        <w:rPr>
          <w:b/>
          <w:bCs/>
          <w:sz w:val="28"/>
          <w:u w:val="single"/>
        </w:rPr>
        <w:t>Características  del centro.</w:t>
      </w:r>
    </w:p>
    <w:p w:rsidR="00481B86" w:rsidRDefault="00481B86" w:rsidP="00481B86">
      <w:pPr>
        <w:ind w:firstLine="720"/>
        <w:jc w:val="both"/>
      </w:pPr>
      <w:r>
        <w:t xml:space="preserve">El colegio se encuentra a la entrada del pueblo, junto a la carretera que va a Morón de la </w:t>
      </w:r>
      <w:proofErr w:type="gramStart"/>
      <w:r>
        <w:t>Frontera .</w:t>
      </w:r>
      <w:proofErr w:type="gramEnd"/>
    </w:p>
    <w:p w:rsidR="00481B86" w:rsidRDefault="00481B86" w:rsidP="00481B86">
      <w:pPr>
        <w:ind w:firstLine="720"/>
        <w:jc w:val="both"/>
      </w:pPr>
      <w:r>
        <w:t xml:space="preserve">Es un centro </w:t>
      </w:r>
      <w:proofErr w:type="spellStart"/>
      <w:r>
        <w:t>SemiD</w:t>
      </w:r>
      <w:proofErr w:type="spellEnd"/>
      <w:r>
        <w:t xml:space="preserve">, con una sola línea. En cuanto a su estructura e instalaciones, el colegio está formado por un edificio, dividido en cuatro bloques de los cuales dos son de construcción más antigua y los otros dos de construcción más reciente. Cada bloque antiguo consta de dos aulas en planta baja y dos en planta alta, con una </w:t>
      </w:r>
      <w:r>
        <w:lastRenderedPageBreak/>
        <w:t>escalera de acceso. Todo el edificio está  rodeado de patios donde los alumnos juegan en los recreos y desarrollan su actividad deportiva cuando reciben clases de Educación Física.</w:t>
      </w:r>
    </w:p>
    <w:p w:rsidR="00481B86" w:rsidRPr="00481B86" w:rsidRDefault="00481B86" w:rsidP="00481B86">
      <w:pPr>
        <w:ind w:firstLine="720"/>
        <w:jc w:val="both"/>
      </w:pPr>
      <w:r>
        <w:t>El patio de recreo está dividido en varias zonas una de las cuales se dedica exclusivamente para el alumnado de infantil.</w:t>
      </w:r>
    </w:p>
    <w:p w:rsidR="00481B86" w:rsidRDefault="00481B86" w:rsidP="00481B86">
      <w:pPr>
        <w:pStyle w:val="Ttulo5"/>
        <w:spacing w:line="240" w:lineRule="auto"/>
        <w:jc w:val="both"/>
      </w:pPr>
      <w:r>
        <w:t>Características de la comunidad educativa</w:t>
      </w:r>
    </w:p>
    <w:p w:rsidR="00481B86" w:rsidRDefault="00481B86" w:rsidP="00481B86">
      <w:pPr>
        <w:ind w:firstLine="720"/>
        <w:jc w:val="both"/>
      </w:pPr>
    </w:p>
    <w:p w:rsidR="00481B86" w:rsidRDefault="00481B86" w:rsidP="00481B86">
      <w:pPr>
        <w:spacing w:after="0"/>
        <w:ind w:firstLine="708"/>
        <w:jc w:val="both"/>
      </w:pPr>
      <w:r>
        <w:rPr>
          <w:b/>
          <w:u w:val="single"/>
        </w:rPr>
        <w:t>Personal del centro</w:t>
      </w:r>
      <w:r>
        <w:t>:</w:t>
      </w:r>
    </w:p>
    <w:p w:rsidR="00481B86" w:rsidRDefault="00481B86" w:rsidP="00481B86">
      <w:pPr>
        <w:spacing w:after="0"/>
        <w:jc w:val="both"/>
      </w:pPr>
      <w:r>
        <w:t>- Profesorado</w:t>
      </w:r>
    </w:p>
    <w:p w:rsidR="00481B86" w:rsidRDefault="00F27169" w:rsidP="00481B86">
      <w:pPr>
        <w:spacing w:after="0"/>
        <w:ind w:left="708"/>
        <w:jc w:val="both"/>
      </w:pPr>
      <w:r>
        <w:t>. 2</w:t>
      </w:r>
      <w:r w:rsidR="00481B86">
        <w:t>tutoras de E</w:t>
      </w:r>
      <w:r>
        <w:t xml:space="preserve">ducación Infantil. </w:t>
      </w:r>
    </w:p>
    <w:p w:rsidR="00481B86" w:rsidRDefault="00481B86" w:rsidP="00481B86">
      <w:pPr>
        <w:spacing w:after="0"/>
        <w:ind w:left="708"/>
        <w:jc w:val="both"/>
      </w:pPr>
      <w:r>
        <w:t xml:space="preserve">. 4 tutores/as de Educación Primaria </w:t>
      </w:r>
    </w:p>
    <w:p w:rsidR="00481B86" w:rsidRDefault="00481B86" w:rsidP="00481B86">
      <w:pPr>
        <w:spacing w:after="0"/>
        <w:ind w:left="708"/>
        <w:jc w:val="both"/>
      </w:pPr>
      <w:r>
        <w:t>. 1 maestro de Educación Física ESO y Primaria</w:t>
      </w:r>
    </w:p>
    <w:p w:rsidR="00481B86" w:rsidRDefault="00481B86" w:rsidP="00481B86">
      <w:pPr>
        <w:spacing w:after="0"/>
        <w:ind w:left="708"/>
        <w:jc w:val="both"/>
      </w:pPr>
      <w:r>
        <w:t xml:space="preserve">. 1 maestro especialista en Matemáticas. ESO </w:t>
      </w:r>
    </w:p>
    <w:p w:rsidR="00481B86" w:rsidRDefault="00481B86" w:rsidP="00481B86">
      <w:pPr>
        <w:spacing w:after="0"/>
        <w:ind w:left="708"/>
        <w:jc w:val="both"/>
      </w:pPr>
      <w:r>
        <w:t>. 1 maestro especialista en Francés ESO y Primaria</w:t>
      </w:r>
    </w:p>
    <w:p w:rsidR="00481B86" w:rsidRDefault="00481B86" w:rsidP="00481B86">
      <w:pPr>
        <w:spacing w:after="0"/>
        <w:ind w:left="708"/>
        <w:jc w:val="both"/>
      </w:pPr>
      <w:r>
        <w:t xml:space="preserve">. 1 maestro especialista en CCSS ESO </w:t>
      </w:r>
      <w:proofErr w:type="gramStart"/>
      <w:r>
        <w:t>( director</w:t>
      </w:r>
      <w:proofErr w:type="gramEnd"/>
      <w:r>
        <w:t>)</w:t>
      </w:r>
    </w:p>
    <w:p w:rsidR="00481B86" w:rsidRDefault="00481B86" w:rsidP="00481B86">
      <w:pPr>
        <w:spacing w:after="0"/>
        <w:ind w:left="708"/>
        <w:jc w:val="both"/>
      </w:pPr>
      <w:r>
        <w:t xml:space="preserve">. 1 maestro especialista en Inglés </w:t>
      </w:r>
      <w:proofErr w:type="gramStart"/>
      <w:r>
        <w:t>( ESO</w:t>
      </w:r>
      <w:proofErr w:type="gramEnd"/>
      <w:r>
        <w:t xml:space="preserve"> y Primaria). </w:t>
      </w:r>
    </w:p>
    <w:p w:rsidR="00481B86" w:rsidRDefault="00481B86" w:rsidP="00481B86">
      <w:pPr>
        <w:spacing w:after="0"/>
        <w:ind w:firstLine="720"/>
        <w:jc w:val="both"/>
      </w:pPr>
      <w:r>
        <w:t>. 1 maestro especiali</w:t>
      </w:r>
      <w:r w:rsidR="00F27169">
        <w:t xml:space="preserve">sta en Religión </w:t>
      </w:r>
      <w:proofErr w:type="gramStart"/>
      <w:r w:rsidR="00F27169">
        <w:t>( Primaria</w:t>
      </w:r>
      <w:proofErr w:type="gramEnd"/>
      <w:r w:rsidR="00F27169">
        <w:t xml:space="preserve"> )</w:t>
      </w:r>
    </w:p>
    <w:p w:rsidR="00F27169" w:rsidRDefault="00F27169" w:rsidP="00481B86">
      <w:pPr>
        <w:spacing w:after="0"/>
        <w:ind w:firstLine="720"/>
        <w:jc w:val="both"/>
      </w:pPr>
      <w:r>
        <w:t xml:space="preserve">. 1 maestro especialista en Religión </w:t>
      </w:r>
      <w:proofErr w:type="gramStart"/>
      <w:r>
        <w:t>( ESO</w:t>
      </w:r>
      <w:proofErr w:type="gramEnd"/>
      <w:r>
        <w:t xml:space="preserve"> )</w:t>
      </w:r>
    </w:p>
    <w:p w:rsidR="00481B86" w:rsidRDefault="00481B86" w:rsidP="00481B86">
      <w:pPr>
        <w:spacing w:after="0"/>
        <w:ind w:left="708"/>
        <w:jc w:val="both"/>
      </w:pPr>
      <w:r>
        <w:t xml:space="preserve">. 1 maestra especialista  en P.T </w:t>
      </w:r>
      <w:proofErr w:type="gramStart"/>
      <w:r>
        <w:t>( Primaria</w:t>
      </w:r>
      <w:proofErr w:type="gramEnd"/>
      <w:r>
        <w:t xml:space="preserve"> y ESO). </w:t>
      </w:r>
    </w:p>
    <w:p w:rsidR="00481B86" w:rsidRDefault="00481B86" w:rsidP="00481B86">
      <w:pPr>
        <w:spacing w:after="0"/>
        <w:ind w:left="708"/>
        <w:jc w:val="both"/>
      </w:pPr>
      <w:r>
        <w:t>. 1 maestro de música.</w:t>
      </w:r>
    </w:p>
    <w:p w:rsidR="00481B86" w:rsidRDefault="00481B86" w:rsidP="00481B86">
      <w:pPr>
        <w:spacing w:after="0"/>
        <w:ind w:left="708"/>
        <w:jc w:val="both"/>
      </w:pPr>
    </w:p>
    <w:p w:rsidR="00481B86" w:rsidRDefault="00481B86" w:rsidP="00481B86">
      <w:pPr>
        <w:ind w:left="708"/>
        <w:jc w:val="both"/>
      </w:pPr>
    </w:p>
    <w:p w:rsidR="00481B86" w:rsidRDefault="00481B86" w:rsidP="00481B86">
      <w:pPr>
        <w:numPr>
          <w:ilvl w:val="0"/>
          <w:numId w:val="1"/>
        </w:numPr>
        <w:tabs>
          <w:tab w:val="num" w:pos="1701"/>
          <w:tab w:val="num" w:pos="2520"/>
        </w:tabs>
        <w:spacing w:after="0" w:line="240" w:lineRule="auto"/>
        <w:jc w:val="both"/>
        <w:rPr>
          <w:u w:val="single"/>
        </w:rPr>
      </w:pPr>
      <w:r>
        <w:t>Personal laboral dependiente de la Consejería:</w:t>
      </w:r>
    </w:p>
    <w:p w:rsidR="00481B86" w:rsidRDefault="00481B86" w:rsidP="00481B86">
      <w:pPr>
        <w:tabs>
          <w:tab w:val="num" w:pos="1701"/>
          <w:tab w:val="num" w:pos="2520"/>
        </w:tabs>
        <w:jc w:val="both"/>
      </w:pPr>
      <w:r>
        <w:t xml:space="preserve"> </w:t>
      </w:r>
      <w:r w:rsidR="00F27169">
        <w:t xml:space="preserve">         </w:t>
      </w:r>
    </w:p>
    <w:p w:rsidR="00481B86" w:rsidRDefault="00481B86" w:rsidP="00481B86">
      <w:pPr>
        <w:tabs>
          <w:tab w:val="num" w:pos="1701"/>
          <w:tab w:val="num" w:pos="2520"/>
        </w:tabs>
        <w:jc w:val="both"/>
      </w:pPr>
      <w:r>
        <w:t xml:space="preserve">            . 2 cocineros.</w:t>
      </w:r>
    </w:p>
    <w:p w:rsidR="00481B86" w:rsidRDefault="00481B86" w:rsidP="00481B86">
      <w:pPr>
        <w:tabs>
          <w:tab w:val="num" w:pos="2520"/>
        </w:tabs>
        <w:jc w:val="both"/>
      </w:pPr>
      <w:r>
        <w:t xml:space="preserve">Otro personal: </w:t>
      </w:r>
    </w:p>
    <w:p w:rsidR="00481B86" w:rsidRDefault="00481B86" w:rsidP="00481B86">
      <w:pPr>
        <w:tabs>
          <w:tab w:val="num" w:pos="2520"/>
        </w:tabs>
        <w:jc w:val="both"/>
      </w:pPr>
      <w:r>
        <w:t xml:space="preserve">         </w:t>
      </w:r>
    </w:p>
    <w:p w:rsidR="00481B86" w:rsidRDefault="00481B86" w:rsidP="00481B86">
      <w:pPr>
        <w:tabs>
          <w:tab w:val="num" w:pos="2520"/>
        </w:tabs>
        <w:jc w:val="both"/>
      </w:pPr>
      <w:r>
        <w:t xml:space="preserve">             .  </w:t>
      </w:r>
      <w:proofErr w:type="gramStart"/>
      <w:r>
        <w:t>limpiadoras</w:t>
      </w:r>
      <w:proofErr w:type="gramEnd"/>
      <w:r>
        <w:t xml:space="preserve">, que dependen del ayuntamiento y de las posibilidades que </w:t>
      </w:r>
    </w:p>
    <w:p w:rsidR="00481B86" w:rsidRDefault="00481B86" w:rsidP="00481B86">
      <w:pPr>
        <w:tabs>
          <w:tab w:val="num" w:pos="2520"/>
        </w:tabs>
        <w:jc w:val="both"/>
      </w:pPr>
      <w:r>
        <w:t xml:space="preserve">                  </w:t>
      </w:r>
      <w:proofErr w:type="gramStart"/>
      <w:r>
        <w:t>pueda</w:t>
      </w:r>
      <w:proofErr w:type="gramEnd"/>
      <w:r>
        <w:t xml:space="preserve"> ofrecer el PFOEA ( antiguo PER) ( cambian quincenalmente)</w:t>
      </w:r>
    </w:p>
    <w:p w:rsidR="00481B86" w:rsidRDefault="00481B86" w:rsidP="00481B86">
      <w:pPr>
        <w:tabs>
          <w:tab w:val="num" w:pos="1701"/>
          <w:tab w:val="num" w:pos="2520"/>
        </w:tabs>
        <w:jc w:val="both"/>
        <w:rPr>
          <w:u w:val="single"/>
        </w:rPr>
      </w:pPr>
      <w:r>
        <w:t xml:space="preserve">            </w:t>
      </w:r>
    </w:p>
    <w:p w:rsidR="00481B86" w:rsidRDefault="00481B86" w:rsidP="00481B86">
      <w:pPr>
        <w:spacing w:line="360" w:lineRule="auto"/>
        <w:jc w:val="both"/>
      </w:pPr>
    </w:p>
    <w:p w:rsidR="00481B86" w:rsidRDefault="00481B86" w:rsidP="00481B86">
      <w:pPr>
        <w:jc w:val="both"/>
      </w:pPr>
      <w:r>
        <w:sym w:font="Symbol" w:char="00A8"/>
      </w:r>
      <w:r>
        <w:rPr>
          <w:u w:val="single"/>
        </w:rPr>
        <w:t xml:space="preserve">Externos al centro: </w:t>
      </w:r>
      <w:r>
        <w:t xml:space="preserve"> </w:t>
      </w:r>
    </w:p>
    <w:p w:rsidR="00481B86" w:rsidRDefault="00481B86" w:rsidP="00481B86">
      <w:pPr>
        <w:numPr>
          <w:ilvl w:val="0"/>
          <w:numId w:val="1"/>
        </w:numPr>
        <w:spacing w:after="0" w:line="240" w:lineRule="auto"/>
        <w:jc w:val="both"/>
      </w:pPr>
      <w:r>
        <w:t xml:space="preserve">Equipo de Orientación Educativa (E.O.E): El Orientador acude quincenalmente al  Centro con el fin de asesorarnos, orientarnos y realizar aquellas actuaciones que se estimen oportunas  para atender a los alumnos-as (desde evaluaciones, pautas de actuación, puesta en práctica de determinados programas...) </w:t>
      </w:r>
    </w:p>
    <w:p w:rsidR="00481B86" w:rsidRDefault="00481B86" w:rsidP="00481B86">
      <w:pPr>
        <w:ind w:left="360"/>
        <w:jc w:val="both"/>
      </w:pPr>
      <w:r>
        <w:t xml:space="preserve"> </w:t>
      </w:r>
    </w:p>
    <w:p w:rsidR="00481B86" w:rsidRDefault="00481B86" w:rsidP="00481B86">
      <w:pPr>
        <w:jc w:val="both"/>
      </w:pPr>
      <w:r>
        <w:t xml:space="preserve">         Con respecto al personal hay que destacar que casi la totalidad de la plantilla está formada por profesorado con poca estabilidad en el </w:t>
      </w:r>
      <w:proofErr w:type="gramStart"/>
      <w:r>
        <w:t>centro ,ya</w:t>
      </w:r>
      <w:proofErr w:type="gramEnd"/>
      <w:r>
        <w:t xml:space="preserve"> que la mayoría es profesorado interino o provisional y aquellos profesionales que llegan con destino definitivo suelen estar dos años . Esta circunstancia dificulta el afrontar iniciativas a medio o largo plazo.</w:t>
      </w:r>
    </w:p>
    <w:p w:rsidR="00481B86" w:rsidRDefault="00481B86" w:rsidP="00481B86">
      <w:pPr>
        <w:pStyle w:val="Ttulo6"/>
        <w:jc w:val="both"/>
      </w:pPr>
      <w:r>
        <w:lastRenderedPageBreak/>
        <w:t>Las familias</w:t>
      </w:r>
    </w:p>
    <w:p w:rsidR="00481B86" w:rsidRDefault="00481B86" w:rsidP="00481B86">
      <w:pPr>
        <w:tabs>
          <w:tab w:val="num" w:pos="2520"/>
        </w:tabs>
        <w:jc w:val="both"/>
      </w:pPr>
    </w:p>
    <w:p w:rsidR="00481B86" w:rsidRDefault="00481B86" w:rsidP="00481B86">
      <w:pPr>
        <w:tabs>
          <w:tab w:val="num" w:pos="2520"/>
        </w:tabs>
        <w:jc w:val="both"/>
      </w:pPr>
      <w:r>
        <w:t xml:space="preserve">         Como se ha expuesto en la situación del entorno, las familias poseen un escaso nivel </w:t>
      </w:r>
      <w:proofErr w:type="gramStart"/>
      <w:r>
        <w:t>formativo ,</w:t>
      </w:r>
      <w:proofErr w:type="gramEnd"/>
      <w:r>
        <w:t xml:space="preserve"> si bien se va apreciando que el nivel de preocupación por la educación de sus hijos/as va en aumento lo que sin duda está favoreciendo el clima del centro en todos los sentidos.</w:t>
      </w:r>
    </w:p>
    <w:p w:rsidR="00481B86" w:rsidRDefault="00481B86" w:rsidP="00481B86">
      <w:pPr>
        <w:tabs>
          <w:tab w:val="num" w:pos="2520"/>
        </w:tabs>
        <w:jc w:val="both"/>
      </w:pPr>
      <w:r>
        <w:t>La participación de las familias  en la vida del centro se concreta en la representación del sector padres/ madres en el Consejo Escolar, las tutorías semanales y la colaboración del AMPA en las actividades que organiza el centro. Esta participación es cada vez más activa y siempre hay en general buena disponibilidad por parte de la mayoría.</w:t>
      </w:r>
    </w:p>
    <w:p w:rsidR="00481B86" w:rsidRDefault="00481B86" w:rsidP="00481B86">
      <w:pPr>
        <w:tabs>
          <w:tab w:val="num" w:pos="2520"/>
        </w:tabs>
        <w:jc w:val="both"/>
      </w:pPr>
      <w:r>
        <w:t xml:space="preserve">       Cabe mencionar que en los últimos años, y durante determinadas épocas se incorporan al centro alumnos/as provenientes de familias </w:t>
      </w:r>
      <w:proofErr w:type="gramStart"/>
      <w:r>
        <w:t>inmigrantes .</w:t>
      </w:r>
      <w:proofErr w:type="gramEnd"/>
    </w:p>
    <w:p w:rsidR="00481B86" w:rsidRDefault="00481B86" w:rsidP="00481B86">
      <w:pPr>
        <w:pStyle w:val="Ttulo7"/>
        <w:jc w:val="both"/>
        <w:rPr>
          <w:u w:val="single"/>
        </w:rPr>
      </w:pPr>
      <w:r>
        <w:rPr>
          <w:u w:val="single"/>
        </w:rPr>
        <w:t>El alumnado</w:t>
      </w:r>
    </w:p>
    <w:p w:rsidR="00481B86" w:rsidRDefault="00481B86" w:rsidP="00481B86">
      <w:pPr>
        <w:jc w:val="both"/>
      </w:pPr>
    </w:p>
    <w:p w:rsidR="00481B86" w:rsidRDefault="00481B86" w:rsidP="00481B86">
      <w:pPr>
        <w:jc w:val="both"/>
      </w:pPr>
      <w:r>
        <w:tab/>
        <w:t xml:space="preserve">La matrícula de nuestro centro es bastante baja y se aprecia una progresiva disminución año tras año, por lo que la ratio es  baja en la mayoría de los cursos. </w:t>
      </w:r>
    </w:p>
    <w:p w:rsidR="00481B86" w:rsidRDefault="00481B86" w:rsidP="00481B86">
      <w:pPr>
        <w:jc w:val="both"/>
      </w:pPr>
      <w:r>
        <w:tab/>
        <w:t>El índice de fracaso escolar  entra dentro de los parámetros que pueden considerarse medio-bajo, si bien los resultados de las  últimas pruebas de evaluación diagnóstico no han sido los deseables, sobre todo primaria  aunque se sigue manteniendo un nivel de equidad que puede considerarse medio-alto. Con respecto al índice de idoneidad  también puede considerarse normal, y la gran mayoría termina cada una de las etapas en el tiempo estipulado sin haber en ninguna ocasión.</w:t>
      </w:r>
    </w:p>
    <w:p w:rsidR="00481B86" w:rsidRDefault="00481B86" w:rsidP="00481B86">
      <w:pPr>
        <w:jc w:val="both"/>
      </w:pPr>
      <w:r>
        <w:tab/>
        <w:t>Igualmente podemos considerar que nuestro centro presenta un bajo nivel de absentismo y que el existente se concentra en un número muy escaso de alumnos/as que repiten esta incidencia, aunque  con la colaboración de todos los sectores y los Servicios Sociales del Ayuntamiento estamos logrando un mayor compromiso por parte de estas familias para que este índice llegue a ser nulo.</w:t>
      </w:r>
    </w:p>
    <w:p w:rsidR="00481B86" w:rsidRDefault="00481B86" w:rsidP="00481B86">
      <w:pPr>
        <w:jc w:val="both"/>
      </w:pPr>
    </w:p>
    <w:p w:rsidR="00481B86" w:rsidRDefault="00481B86" w:rsidP="00481B86">
      <w:pPr>
        <w:jc w:val="both"/>
        <w:rPr>
          <w:b/>
          <w:bCs/>
          <w:i/>
          <w:iCs/>
        </w:rPr>
      </w:pPr>
      <w:r>
        <w:tab/>
        <w:t xml:space="preserve">En general el alumnado de nuestro centro no presenta problemas graves de conducta por lo que la convivencia es bastante </w:t>
      </w:r>
      <w:proofErr w:type="gramStart"/>
      <w:r>
        <w:t>buena .</w:t>
      </w:r>
      <w:proofErr w:type="gramEnd"/>
    </w:p>
    <w:p w:rsidR="00481B86" w:rsidRDefault="00481B86" w:rsidP="00481B86">
      <w:pPr>
        <w:spacing w:line="360" w:lineRule="auto"/>
        <w:ind w:firstLine="720"/>
        <w:jc w:val="both"/>
      </w:pPr>
    </w:p>
    <w:p w:rsidR="00481B86" w:rsidRDefault="00481B86" w:rsidP="00481B86">
      <w:pPr>
        <w:spacing w:line="360" w:lineRule="auto"/>
        <w:ind w:firstLine="720"/>
        <w:jc w:val="both"/>
      </w:pPr>
    </w:p>
    <w:p w:rsidR="00481B86" w:rsidRDefault="00481B86"/>
    <w:sectPr w:rsidR="00481B86" w:rsidSect="00481B8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67B81"/>
    <w:multiLevelType w:val="singleLevel"/>
    <w:tmpl w:val="F10A9CA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B4135"/>
    <w:rsid w:val="0002539B"/>
    <w:rsid w:val="00062B29"/>
    <w:rsid w:val="0007269D"/>
    <w:rsid w:val="00343939"/>
    <w:rsid w:val="003B4135"/>
    <w:rsid w:val="00481B86"/>
    <w:rsid w:val="007A0BA4"/>
    <w:rsid w:val="00893063"/>
    <w:rsid w:val="00C472BC"/>
    <w:rsid w:val="00F2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B29"/>
  </w:style>
  <w:style w:type="paragraph" w:styleId="Ttulo5">
    <w:name w:val="heading 5"/>
    <w:basedOn w:val="Normal"/>
    <w:next w:val="Normal"/>
    <w:link w:val="Ttulo5Car"/>
    <w:qFormat/>
    <w:rsid w:val="00481B86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s-ES"/>
    </w:rPr>
  </w:style>
  <w:style w:type="paragraph" w:styleId="Ttulo6">
    <w:name w:val="heading 6"/>
    <w:basedOn w:val="Normal"/>
    <w:next w:val="Normal"/>
    <w:link w:val="Ttulo6Car"/>
    <w:qFormat/>
    <w:rsid w:val="00481B86"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Ttulo7">
    <w:name w:val="heading 7"/>
    <w:basedOn w:val="Normal"/>
    <w:next w:val="Normal"/>
    <w:link w:val="Ttulo7Car"/>
    <w:qFormat/>
    <w:rsid w:val="00481B86"/>
    <w:pPr>
      <w:keepNext/>
      <w:tabs>
        <w:tab w:val="num" w:pos="2520"/>
      </w:tabs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B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13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481B86"/>
    <w:rPr>
      <w:rFonts w:ascii="Times New Roman" w:eastAsia="Times New Roman" w:hAnsi="Times New Roman" w:cs="Times New Roman"/>
      <w:b/>
      <w:bCs/>
      <w:sz w:val="28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481B86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481B8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81B86"/>
    <w:pPr>
      <w:spacing w:after="0" w:line="240" w:lineRule="auto"/>
      <w:ind w:firstLine="539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81B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481B8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81B8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1139</Words>
  <Characters>6268</Characters>
  <Application>Microsoft Office Word</Application>
  <DocSecurity>0</DocSecurity>
  <Lines>52</Lines>
  <Paragraphs>14</Paragraphs>
  <ScaleCrop>false</ScaleCrop>
  <Company> 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2021-11-03T10:50:00Z</cp:lastPrinted>
  <dcterms:created xsi:type="dcterms:W3CDTF">2021-02-17T11:36:00Z</dcterms:created>
  <dcterms:modified xsi:type="dcterms:W3CDTF">2021-11-03T10:51:00Z</dcterms:modified>
</cp:coreProperties>
</file>