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32"/>
          <w:szCs w:val="32"/>
        </w:rPr>
      </w:pPr>
      <w:r w:rsidDel="00000000" w:rsidR="00000000" w:rsidRPr="00000000">
        <w:rPr>
          <w:b w:val="1"/>
          <w:sz w:val="32"/>
          <w:szCs w:val="32"/>
          <w:rtl w:val="0"/>
        </w:rPr>
        <w:t xml:space="preserve">I. EL PROCEDIMIENTO PARA SUSCRIBIR COMPROMISOS EDUCATIVOS Y DE CONVIVENCIA CON LAS FAMILIAS, DE ACUERDO CON LO QUE SE ESTABLEZCA POR ORDEN DE LA PERSONA TITULAR DE LA CONSEJERÍA COMPETENTE EN ÁREA DE EDUCACIÓN</w:t>
      </w:r>
    </w:p>
    <w:p w:rsidR="00000000" w:rsidDel="00000000" w:rsidP="00000000" w:rsidRDefault="00000000" w:rsidRPr="00000000" w14:paraId="00000002">
      <w:pPr>
        <w:spacing w:line="276" w:lineRule="auto"/>
        <w:rPr>
          <w:b w:val="1"/>
          <w:sz w:val="24"/>
          <w:szCs w:val="24"/>
        </w:rPr>
      </w:pPr>
      <w:r w:rsidDel="00000000" w:rsidR="00000000" w:rsidRPr="00000000">
        <w:rPr>
          <w:rtl w:val="0"/>
        </w:rPr>
      </w:r>
    </w:p>
    <w:p w:rsidR="00000000" w:rsidDel="00000000" w:rsidP="00000000" w:rsidRDefault="00000000" w:rsidRPr="00000000" w14:paraId="00000003">
      <w:pPr>
        <w:spacing w:after="160" w:lineRule="auto"/>
        <w:jc w:val="both"/>
        <w:rPr>
          <w:b w:val="1"/>
          <w:sz w:val="28"/>
          <w:szCs w:val="28"/>
        </w:rPr>
      </w:pPr>
      <w:r w:rsidDel="00000000" w:rsidR="00000000" w:rsidRPr="00000000">
        <w:rPr>
          <w:b w:val="1"/>
          <w:sz w:val="28"/>
          <w:szCs w:val="28"/>
          <w:rtl w:val="0"/>
        </w:rPr>
        <w:t xml:space="preserve">Compromisos educativos y de convivencia. Procedimiento para la suscripción y seguimiento por parte del Consejo Escolar. </w:t>
      </w:r>
    </w:p>
    <w:p w:rsidR="00000000" w:rsidDel="00000000" w:rsidP="00000000" w:rsidRDefault="00000000" w:rsidRPr="00000000" w14:paraId="00000004">
      <w:pPr>
        <w:spacing w:after="160" w:lineRule="auto"/>
        <w:jc w:val="both"/>
        <w:rPr>
          <w:sz w:val="24"/>
          <w:szCs w:val="24"/>
        </w:rPr>
      </w:pPr>
      <w:r w:rsidDel="00000000" w:rsidR="00000000" w:rsidRPr="00000000">
        <w:rPr>
          <w:sz w:val="24"/>
          <w:szCs w:val="24"/>
          <w:rtl w:val="0"/>
        </w:rPr>
        <w:t xml:space="preserve">A iniciativa de las familias o del profesorado que ejerce la tutoría del alumnado que presente problemas relacionados con el trabajo en el aula, ligados o no a otros de conducta y aceptación de normas escolares, se podrá proponer la suscripción de compromisos educativos y/o de convivencia. Es conveniente que el profesorado que ejerce la tutoría consulte al equipo docente de forma previa para recabar su asesoramiento y opinión al respecto, así como a la Dirección del Centro. </w:t>
      </w:r>
    </w:p>
    <w:p w:rsidR="00000000" w:rsidDel="00000000" w:rsidP="00000000" w:rsidRDefault="00000000" w:rsidRPr="00000000" w14:paraId="00000005">
      <w:pPr>
        <w:spacing w:after="160" w:lineRule="auto"/>
        <w:jc w:val="both"/>
        <w:rPr>
          <w:sz w:val="24"/>
          <w:szCs w:val="24"/>
        </w:rPr>
      </w:pPr>
      <w:r w:rsidDel="00000000" w:rsidR="00000000" w:rsidRPr="00000000">
        <w:rPr>
          <w:sz w:val="24"/>
          <w:szCs w:val="24"/>
          <w:rtl w:val="0"/>
        </w:rPr>
        <w:t xml:space="preserve">Esta medida se podrá aplicar cuando se considere que puede servir para mejorar la calidad y cantidad del alumnado, sirva de carácter preventivo a la aparición de conductas que alteren la convivencia o sirva para evitar un agravamiento de las que ya se hayan producido. </w:t>
      </w:r>
    </w:p>
    <w:p w:rsidR="00000000" w:rsidDel="00000000" w:rsidP="00000000" w:rsidRDefault="00000000" w:rsidRPr="00000000" w14:paraId="00000006">
      <w:pPr>
        <w:spacing w:after="160" w:lineRule="auto"/>
        <w:jc w:val="both"/>
        <w:rPr>
          <w:sz w:val="24"/>
          <w:szCs w:val="24"/>
        </w:rPr>
      </w:pPr>
      <w:r w:rsidDel="00000000" w:rsidR="00000000" w:rsidRPr="00000000">
        <w:rPr>
          <w:sz w:val="24"/>
          <w:szCs w:val="24"/>
          <w:rtl w:val="0"/>
        </w:rPr>
        <w:t xml:space="preserve">El compromiso debe ser lo más concreto y explícito posible, detallando los objetivos y actuaciones a realizar tanto por parte de la familia o representantes legales del alumnado, como por parte del Centro, estando representado por el Tutor. Además, debe ser revisado según acuerden ambas partes, detallando los avances en el proceso educativo y las acciones acordadas, pudiéndose acordar su continuación, modificación o suspensión, según se estime oportuno por todos. Una vez se finalice, deberá realizarse una valoración cualitativa final del compromiso. De todos los documentos, la familia o representantes legales del alumno deberán quedar informados y recibir copia si lo solicitan. </w:t>
      </w:r>
    </w:p>
    <w:p w:rsidR="00000000" w:rsidDel="00000000" w:rsidP="00000000" w:rsidRDefault="00000000" w:rsidRPr="00000000" w14:paraId="00000007">
      <w:pPr>
        <w:spacing w:after="160" w:lineRule="auto"/>
        <w:jc w:val="both"/>
        <w:rPr>
          <w:sz w:val="24"/>
          <w:szCs w:val="24"/>
        </w:rPr>
      </w:pPr>
      <w:r w:rsidDel="00000000" w:rsidR="00000000" w:rsidRPr="00000000">
        <w:rPr>
          <w:sz w:val="24"/>
          <w:szCs w:val="24"/>
          <w:rtl w:val="0"/>
        </w:rPr>
        <w:t xml:space="preserve">De todo lo aquí expuesto, la familia o representantes legales, así como la tutora, deberán firmar cada paso dado. Siendo todo revisado por la Directora del Centro, el cual firmará su visto bueno.</w:t>
      </w:r>
    </w:p>
    <w:p w:rsidR="00000000" w:rsidDel="00000000" w:rsidP="00000000" w:rsidRDefault="00000000" w:rsidRPr="00000000" w14:paraId="00000008">
      <w:pPr>
        <w:spacing w:after="160" w:lineRule="auto"/>
        <w:jc w:val="both"/>
        <w:rPr>
          <w:sz w:val="24"/>
          <w:szCs w:val="24"/>
        </w:rPr>
      </w:pPr>
      <w:r w:rsidDel="00000000" w:rsidR="00000000" w:rsidRPr="00000000">
        <w:rPr>
          <w:sz w:val="24"/>
          <w:szCs w:val="24"/>
          <w:rtl w:val="0"/>
        </w:rPr>
        <w:t xml:space="preserve">Para los casos de compromiso de convivencia, será la comisión de convivencia, la cual, en representación del Consejo Escolar, realizará un seguimiento del cumplimiento de los compromisos que se realicen, garantizando la efectividad de los compromisos que se suscriban en el Centro y proponiendo la adopción de medidas e iniciativas en caso de incumplimiento. </w:t>
      </w:r>
    </w:p>
    <w:p w:rsidR="00000000" w:rsidDel="00000000" w:rsidP="00000000" w:rsidRDefault="00000000" w:rsidRPr="00000000" w14:paraId="00000009">
      <w:pPr>
        <w:spacing w:after="160" w:lineRule="auto"/>
        <w:jc w:val="both"/>
        <w:rPr>
          <w:sz w:val="24"/>
          <w:szCs w:val="24"/>
        </w:rPr>
      </w:pPr>
      <w:r w:rsidDel="00000000" w:rsidR="00000000" w:rsidRPr="00000000">
        <w:rPr>
          <w:sz w:val="24"/>
          <w:szCs w:val="24"/>
          <w:rtl w:val="0"/>
        </w:rPr>
        <w:t xml:space="preserve">El Consejo Escolar, a través de la comisión de Convivencia, garantizará la efectividad de los compromisos de convivencia que se suscriben en el Centro y propondrá la adopción de medidas e iniciativas en caso de incumplimiento, entre las que se podrá contemplar la anulación del mismo.</w:t>
      </w:r>
    </w:p>
    <w:p w:rsidR="00000000" w:rsidDel="00000000" w:rsidP="00000000" w:rsidRDefault="00000000" w:rsidRPr="00000000" w14:paraId="0000000A">
      <w:pPr>
        <w:spacing w:after="160" w:lineRule="auto"/>
        <w:jc w:val="both"/>
        <w:rPr>
          <w:sz w:val="24"/>
          <w:szCs w:val="24"/>
        </w:rPr>
      </w:pPr>
      <w:r w:rsidDel="00000000" w:rsidR="00000000" w:rsidRPr="00000000">
        <w:rPr>
          <w:sz w:val="24"/>
          <w:szCs w:val="24"/>
          <w:rtl w:val="0"/>
        </w:rPr>
        <w:t xml:space="preserve">Se adjuntan los modelos de </w:t>
      </w:r>
      <w:hyperlink r:id="rId7">
        <w:r w:rsidDel="00000000" w:rsidR="00000000" w:rsidRPr="00000000">
          <w:rPr>
            <w:color w:val="1155cc"/>
            <w:sz w:val="24"/>
            <w:szCs w:val="24"/>
            <w:u w:val="single"/>
            <w:rtl w:val="0"/>
          </w:rPr>
          <w:t xml:space="preserve">compromiso educativo</w:t>
        </w:r>
      </w:hyperlink>
      <w:r w:rsidDel="00000000" w:rsidR="00000000" w:rsidRPr="00000000">
        <w:rPr>
          <w:sz w:val="24"/>
          <w:szCs w:val="24"/>
          <w:rtl w:val="0"/>
        </w:rPr>
        <w:t xml:space="preserve"> y </w:t>
      </w:r>
      <w:hyperlink r:id="rId8">
        <w:r w:rsidDel="00000000" w:rsidR="00000000" w:rsidRPr="00000000">
          <w:rPr>
            <w:color w:val="1155cc"/>
            <w:sz w:val="24"/>
            <w:szCs w:val="24"/>
            <w:u w:val="single"/>
            <w:rtl w:val="0"/>
          </w:rPr>
          <w:t xml:space="preserve">de convivencia</w:t>
        </w:r>
      </w:hyperlink>
      <w:r w:rsidDel="00000000" w:rsidR="00000000" w:rsidRPr="00000000">
        <w:rPr>
          <w:sz w:val="24"/>
          <w:szCs w:val="24"/>
          <w:rtl w:val="0"/>
        </w:rPr>
        <w:t xml:space="preserve"> incluidos en la </w:t>
      </w:r>
      <w:hyperlink r:id="rId9">
        <w:r w:rsidDel="00000000" w:rsidR="00000000" w:rsidRPr="00000000">
          <w:rPr>
            <w:color w:val="1155cc"/>
            <w:sz w:val="24"/>
            <w:szCs w:val="24"/>
            <w:u w:val="single"/>
            <w:rtl w:val="0"/>
          </w:rPr>
          <w:t xml:space="preserve">Orden de 20 de junio de 2011</w:t>
        </w:r>
      </w:hyperlink>
      <w:r w:rsidDel="00000000" w:rsidR="00000000" w:rsidRPr="00000000">
        <w:rPr>
          <w:sz w:val="24"/>
          <w:szCs w:val="24"/>
          <w:rtl w:val="0"/>
        </w:rPr>
        <w:t xml:space="preserve">, por la que se adoptan medidas para la promoción de la convivencia en los centros docentes públicos y se regula el derecho de las familias a participar en el proceso educativo de sus hijos/as (Anexos V y VI respectivamente).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sectPr>
      <w:headerReference r:id="rId10" w:type="default"/>
      <w:footerReference r:id="rId11" w:type="default"/>
      <w:pgSz w:h="16838" w:w="11906" w:orient="portrait"/>
      <w:pgMar w:bottom="1417.3228346456694" w:top="1842.51968503937" w:left="1417.3228346456694" w:right="1417.3228346456694"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NewsGot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leader="none" w:pos="3402"/>
        <w:tab w:val="left" w:leader="none" w:pos="7088"/>
      </w:tabs>
      <w:spacing w:after="0" w:before="0" w:line="240" w:lineRule="auto"/>
      <w:ind w:left="0" w:right="0" w:firstLine="0"/>
      <w:jc w:val="right"/>
      <w:rPr/>
    </w:pPr>
    <w:r w:rsidDel="00000000" w:rsidR="00000000" w:rsidRPr="00000000">
      <w:rPr>
        <w:rFonts w:ascii="NewsGotT" w:cs="NewsGotT" w:eastAsia="NewsGotT" w:hAnsi="NewsGotT"/>
        <w:b w:val="0"/>
        <w:i w:val="0"/>
        <w:smallCaps w:val="0"/>
        <w:strike w:val="0"/>
        <w:color w:val="008000"/>
        <w:sz w:val="16"/>
        <w:szCs w:val="16"/>
        <w:u w:val="none"/>
        <w:shd w:fill="auto" w:val="clear"/>
        <w:vertAlign w:val="baseline"/>
        <w:rtl w:val="0"/>
      </w:rPr>
      <w:t xml:space="preserve">c/ Tetuán,39</w:t>
    </w:r>
    <w:r w:rsidDel="00000000" w:rsidR="00000000" w:rsidRPr="00000000">
      <w:rPr>
        <w:rFonts w:ascii="NewsGotT" w:cs="NewsGotT" w:eastAsia="NewsGotT" w:hAnsi="NewsGotT"/>
        <w:color w:val="008000"/>
        <w:sz w:val="16"/>
        <w:szCs w:val="16"/>
        <w:rtl w:val="0"/>
      </w:rPr>
      <w:t xml:space="preserve"> - </w:t>
    </w:r>
    <w:r w:rsidDel="00000000" w:rsidR="00000000" w:rsidRPr="00000000">
      <w:rPr>
        <w:rFonts w:ascii="NewsGotT" w:cs="NewsGotT" w:eastAsia="NewsGotT" w:hAnsi="NewsGotT"/>
        <w:b w:val="0"/>
        <w:i w:val="0"/>
        <w:smallCaps w:val="0"/>
        <w:strike w:val="0"/>
        <w:color w:val="008000"/>
        <w:sz w:val="16"/>
        <w:szCs w:val="16"/>
        <w:u w:val="none"/>
        <w:shd w:fill="auto" w:val="clear"/>
        <w:vertAlign w:val="baseline"/>
        <w:rtl w:val="0"/>
      </w:rPr>
      <w:t xml:space="preserve">2370</w:t>
    </w:r>
    <w:r w:rsidDel="00000000" w:rsidR="00000000" w:rsidRPr="00000000">
      <w:rPr>
        <w:rFonts w:ascii="NewsGotT" w:cs="NewsGotT" w:eastAsia="NewsGotT" w:hAnsi="NewsGotT"/>
        <w:color w:val="008000"/>
        <w:sz w:val="16"/>
        <w:szCs w:val="16"/>
        <w:rtl w:val="0"/>
      </w:rPr>
      <w:t xml:space="preserve">0</w:t>
    </w:r>
    <w:r w:rsidDel="00000000" w:rsidR="00000000" w:rsidRPr="00000000">
      <w:rPr>
        <w:rFonts w:ascii="NewsGotT" w:cs="NewsGotT" w:eastAsia="NewsGotT" w:hAnsi="NewsGotT"/>
        <w:b w:val="0"/>
        <w:i w:val="0"/>
        <w:smallCaps w:val="0"/>
        <w:strike w:val="0"/>
        <w:color w:val="008000"/>
        <w:sz w:val="16"/>
        <w:szCs w:val="16"/>
        <w:u w:val="none"/>
        <w:shd w:fill="auto" w:val="clear"/>
        <w:vertAlign w:val="baseline"/>
        <w:rtl w:val="0"/>
      </w:rPr>
      <w:t xml:space="preserve"> Linares (Jaén)</w:t>
    </w:r>
    <w:r w:rsidDel="00000000" w:rsidR="00000000" w:rsidRPr="00000000">
      <w:rPr>
        <w:rFonts w:ascii="NewsGotT" w:cs="NewsGotT" w:eastAsia="NewsGotT" w:hAnsi="NewsGotT"/>
        <w:color w:val="008000"/>
        <w:sz w:val="16"/>
        <w:szCs w:val="16"/>
        <w:rtl w:val="0"/>
      </w:rPr>
      <w:t xml:space="preserve"> </w:t>
    </w:r>
    <w:r w:rsidDel="00000000" w:rsidR="00000000" w:rsidRPr="00000000">
      <w:rPr>
        <w:rFonts w:ascii="Noto Sans Symbols" w:cs="Noto Sans Symbols" w:eastAsia="Noto Sans Symbols" w:hAnsi="Noto Sans Symbols"/>
        <w:color w:val="008000"/>
        <w:rtl w:val="0"/>
      </w:rPr>
      <w:t xml:space="preserve">🕾</w:t>
    </w:r>
    <w:r w:rsidDel="00000000" w:rsidR="00000000" w:rsidRPr="00000000">
      <w:rPr>
        <w:rFonts w:ascii="NewsGotT" w:cs="NewsGotT" w:eastAsia="NewsGotT" w:hAnsi="NewsGotT"/>
        <w:color w:val="008000"/>
        <w:sz w:val="16"/>
        <w:szCs w:val="16"/>
        <w:rtl w:val="0"/>
      </w:rPr>
      <w:t xml:space="preserve">953 609562</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leader="none" w:pos="3402"/>
        <w:tab w:val="left" w:leader="none" w:pos="7088"/>
      </w:tabs>
      <w:spacing w:after="0" w:before="0" w:line="240" w:lineRule="auto"/>
      <w:ind w:left="0" w:right="0" w:firstLine="0"/>
      <w:jc w:val="right"/>
      <w:rPr>
        <w:rFonts w:ascii="NewsGotT" w:cs="NewsGotT" w:eastAsia="NewsGotT" w:hAnsi="NewsGotT"/>
        <w:color w:val="008000"/>
        <w:sz w:val="16"/>
        <w:szCs w:val="16"/>
      </w:rPr>
    </w:pPr>
    <w:r w:rsidDel="00000000" w:rsidR="00000000" w:rsidRPr="00000000">
      <w:rPr>
        <w:rFonts w:ascii="NewsGotT" w:cs="NewsGotT" w:eastAsia="NewsGotT" w:hAnsi="NewsGotT"/>
        <w:b w:val="0"/>
        <w:i w:val="0"/>
        <w:smallCaps w:val="0"/>
        <w:strike w:val="0"/>
        <w:color w:val="008000"/>
        <w:sz w:val="16"/>
        <w:szCs w:val="16"/>
        <w:u w:val="none"/>
        <w:shd w:fill="auto" w:val="clear"/>
        <w:vertAlign w:val="baseline"/>
        <w:rtl w:val="0"/>
      </w:rPr>
      <w:tab/>
    </w:r>
    <w:hyperlink r:id="rId1">
      <w:r w:rsidDel="00000000" w:rsidR="00000000" w:rsidRPr="00000000">
        <w:rPr>
          <w:rFonts w:ascii="NewsGotT" w:cs="NewsGotT" w:eastAsia="NewsGotT" w:hAnsi="NewsGotT"/>
          <w:b w:val="0"/>
          <w:i w:val="0"/>
          <w:smallCaps w:val="0"/>
          <w:strike w:val="0"/>
          <w:color w:val="1155cc"/>
          <w:sz w:val="16"/>
          <w:szCs w:val="16"/>
          <w:u w:val="single"/>
          <w:shd w:fill="auto" w:val="clear"/>
          <w:vertAlign w:val="baseline"/>
          <w:rtl w:val="0"/>
        </w:rPr>
        <w:t xml:space="preserve">23002784@juntadeandalucia.es</w:t>
      </w:r>
    </w:hyperlink>
    <w:r w:rsidDel="00000000" w:rsidR="00000000" w:rsidRPr="00000000">
      <w:rPr>
        <w:rFonts w:ascii="NewsGotT" w:cs="NewsGotT" w:eastAsia="NewsGotT" w:hAnsi="NewsGotT"/>
        <w:b w:val="0"/>
        <w:i w:val="0"/>
        <w:smallCaps w:val="0"/>
        <w:strike w:val="0"/>
        <w:color w:val="008000"/>
        <w:sz w:val="16"/>
        <w:szCs w:val="16"/>
        <w:u w:val="none"/>
        <w:shd w:fill="auto" w:val="clear"/>
        <w:vertAlign w:val="baseline"/>
        <w:rtl w:val="0"/>
      </w:rPr>
      <w:t xml:space="preserve"> / </w:t>
    </w:r>
    <w:hyperlink r:id="rId2">
      <w:r w:rsidDel="00000000" w:rsidR="00000000" w:rsidRPr="00000000">
        <w:rPr>
          <w:rFonts w:ascii="NewsGotT" w:cs="NewsGotT" w:eastAsia="NewsGotT" w:hAnsi="NewsGotT"/>
          <w:color w:val="1155cc"/>
          <w:sz w:val="16"/>
          <w:szCs w:val="16"/>
          <w:u w:val="single"/>
          <w:rtl w:val="0"/>
        </w:rPr>
        <w:t xml:space="preserve">23002784@g.educaand.es</w:t>
      </w:r>
    </w:hyperlink>
    <w:r w:rsidDel="00000000" w:rsidR="00000000" w:rsidRPr="00000000">
      <w:rPr>
        <w:rFonts w:ascii="NewsGotT" w:cs="NewsGotT" w:eastAsia="NewsGotT" w:hAnsi="NewsGotT"/>
        <w:color w:val="008000"/>
        <w:sz w:val="16"/>
        <w:szCs w:val="16"/>
        <w:rtl w:val="0"/>
      </w:rPr>
      <w:t xml:space="preserve">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leader="none" w:pos="3402"/>
        <w:tab w:val="left" w:leader="none" w:pos="7088"/>
      </w:tabs>
      <w:spacing w:after="0" w:before="0" w:line="240" w:lineRule="auto"/>
      <w:ind w:left="0" w:right="0" w:firstLine="0"/>
      <w:jc w:val="right"/>
      <w:rPr>
        <w:rFonts w:ascii="NewsGotT" w:cs="NewsGotT" w:eastAsia="NewsGotT" w:hAnsi="NewsGotT"/>
        <w:b w:val="1"/>
      </w:rPr>
    </w:pPr>
    <w:r w:rsidDel="00000000" w:rsidR="00000000" w:rsidRPr="00000000">
      <w:rPr>
        <w:rFonts w:ascii="NewsGotT" w:cs="NewsGotT" w:eastAsia="NewsGotT" w:hAnsi="NewsGotT"/>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widowControl w:val="0"/>
      <w:jc w:val="right"/>
      <w:rPr>
        <w:b w:val="1"/>
        <w:color w:val="008000"/>
      </w:rPr>
    </w:pPr>
    <w:r w:rsidDel="00000000" w:rsidR="00000000" w:rsidRPr="00000000">
      <w:rPr>
        <w:b w:val="1"/>
        <w:color w:val="008000"/>
      </w:rPr>
      <w:drawing>
        <wp:anchor allowOverlap="1" behindDoc="1" distB="0" distT="0" distL="0" distR="0" hidden="0" layoutInCell="1" locked="0" relativeHeight="0" simplePos="0">
          <wp:simplePos x="0" y="0"/>
          <wp:positionH relativeFrom="page">
            <wp:posOffset>900000</wp:posOffset>
          </wp:positionH>
          <wp:positionV relativeFrom="page">
            <wp:posOffset>278550</wp:posOffset>
          </wp:positionV>
          <wp:extent cx="1447800" cy="828675"/>
          <wp:effectExtent b="0" l="0" r="0" t="0"/>
          <wp:wrapNone/>
          <wp:docPr id="4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447800" cy="828675"/>
                  </a:xfrm>
                  <a:prstGeom prst="rect"/>
                  <a:ln/>
                </pic:spPr>
              </pic:pic>
            </a:graphicData>
          </a:graphic>
        </wp:anchor>
      </w:drawing>
    </w:r>
    <w:r w:rsidDel="00000000" w:rsidR="00000000" w:rsidRPr="00000000">
      <w:rPr>
        <w:b w:val="1"/>
        <w:color w:val="008000"/>
        <w:rtl w:val="0"/>
      </w:rPr>
      <w:t xml:space="preserve">Consejería de Desarrollo Educativo y Formación Profesional</w:t>
    </w:r>
    <w:r w:rsidDel="00000000" w:rsidR="00000000" w:rsidRPr="00000000">
      <w:drawing>
        <wp:anchor allowOverlap="1" behindDoc="1" distB="0" distT="0" distL="0" distR="0" hidden="0" layoutInCell="1" locked="0" relativeHeight="0" simplePos="0">
          <wp:simplePos x="0" y="0"/>
          <wp:positionH relativeFrom="column">
            <wp:posOffset>4514850</wp:posOffset>
          </wp:positionH>
          <wp:positionV relativeFrom="paragraph">
            <wp:posOffset>57150</wp:posOffset>
          </wp:positionV>
          <wp:extent cx="721104" cy="730349"/>
          <wp:effectExtent b="0" l="0" r="0" t="0"/>
          <wp:wrapNone/>
          <wp:docPr id="4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21104" cy="730349"/>
                  </a:xfrm>
                  <a:prstGeom prst="rect"/>
                  <a:ln/>
                </pic:spPr>
              </pic:pic>
            </a:graphicData>
          </a:graphic>
        </wp:anchor>
      </w:drawing>
    </w:r>
  </w:p>
  <w:p w:rsidR="00000000" w:rsidDel="00000000" w:rsidP="00000000" w:rsidRDefault="00000000" w:rsidRPr="00000000" w14:paraId="0000000D">
    <w:pPr>
      <w:widowControl w:val="0"/>
      <w:jc w:val="right"/>
      <w:rPr>
        <w:b w:val="1"/>
        <w:color w:val="008000"/>
      </w:rPr>
    </w:pPr>
    <w:r w:rsidDel="00000000" w:rsidR="00000000" w:rsidRPr="00000000">
      <w:rPr>
        <w:b w:val="1"/>
        <w:color w:val="008000"/>
        <w:rtl w:val="0"/>
      </w:rPr>
      <w:t xml:space="preserve">CEIP Tetuán, Linares (Jaén)</w:t>
    </w:r>
  </w:p>
  <w:p w:rsidR="00000000" w:rsidDel="00000000" w:rsidP="00000000" w:rsidRDefault="00000000" w:rsidRPr="00000000" w14:paraId="0000000E">
    <w:pPr>
      <w:widowControl w:val="0"/>
      <w:jc w:val="both"/>
      <w:rPr>
        <w:sz w:val="24"/>
        <w:szCs w:val="24"/>
      </w:rPr>
    </w:pPr>
    <w:r w:rsidDel="00000000" w:rsidR="00000000" w:rsidRPr="00000000">
      <w:rPr>
        <w:rtl w:val="0"/>
      </w:rPr>
    </w:r>
  </w:p>
  <w:p w:rsidR="00000000" w:rsidDel="00000000" w:rsidP="00000000" w:rsidRDefault="00000000" w:rsidRPr="00000000" w14:paraId="0000000F">
    <w:pPr>
      <w:widowControl w:val="0"/>
      <w:jc w:val="both"/>
      <w:rPr>
        <w:color w:val="00b050"/>
      </w:rPr>
    </w:pPr>
    <w:r w:rsidDel="00000000" w:rsidR="00000000" w:rsidRPr="00000000">
      <w:rPr>
        <w:color w:val="00b050"/>
      </w:rPr>
      <w:drawing>
        <wp:anchor allowOverlap="1" behindDoc="1" distB="0" distT="0" distL="0" distR="0" hidden="0" layoutInCell="1" locked="0" relativeHeight="0" simplePos="0">
          <wp:simplePos x="0" y="0"/>
          <wp:positionH relativeFrom="page">
            <wp:posOffset>-166797</wp:posOffset>
          </wp:positionH>
          <wp:positionV relativeFrom="page">
            <wp:posOffset>7708050</wp:posOffset>
          </wp:positionV>
          <wp:extent cx="1107017" cy="2175934"/>
          <wp:effectExtent b="0" l="0" r="0" t="0"/>
          <wp:wrapNone/>
          <wp:docPr descr="escanear0004" id="43" name="image1.png"/>
          <a:graphic>
            <a:graphicData uri="http://schemas.openxmlformats.org/drawingml/2006/picture">
              <pic:pic>
                <pic:nvPicPr>
                  <pic:cNvPr descr="escanear0004" id="0" name="image1.png"/>
                  <pic:cNvPicPr preferRelativeResize="0"/>
                </pic:nvPicPr>
                <pic:blipFill>
                  <a:blip r:embed="rId3"/>
                  <a:srcRect b="0" l="0" r="0" t="0"/>
                  <a:stretch>
                    <a:fillRect/>
                  </a:stretch>
                </pic:blipFill>
                <pic:spPr>
                  <a:xfrm>
                    <a:off x="0" y="0"/>
                    <a:ext cx="1107017" cy="217593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7268B"/>
    <w:pPr>
      <w:autoSpaceDE w:val="0"/>
      <w:autoSpaceDN w:val="0"/>
      <w:adjustRightInd w:val="0"/>
      <w:spacing w:after="0" w:line="240" w:lineRule="auto"/>
    </w:pPr>
    <w:rPr>
      <w:rFonts w:ascii="Times New Roman" w:cs="Times New Roman" w:eastAsia="Calibri" w:hAnsi="Times New Roman"/>
      <w:sz w:val="20"/>
      <w:szCs w:val="20"/>
      <w:lang w:val="en-US"/>
    </w:rPr>
  </w:style>
  <w:style w:type="paragraph" w:styleId="Ttulo1">
    <w:name w:val="heading 1"/>
    <w:basedOn w:val="Normal"/>
    <w:next w:val="Normal"/>
    <w:link w:val="Ttulo1Car"/>
    <w:qFormat w:val="1"/>
    <w:rsid w:val="00FE5D2F"/>
    <w:pPr>
      <w:keepNext w:val="1"/>
      <w:autoSpaceDE w:val="1"/>
      <w:autoSpaceDN w:val="1"/>
      <w:adjustRightInd w:val="1"/>
      <w:outlineLvl w:val="0"/>
    </w:pPr>
    <w:rPr>
      <w:rFonts w:eastAsia="Times New Roman"/>
      <w:sz w:val="24"/>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59"/>
    <w:rsid w:val="00B7268B"/>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Default" w:customStyle="1">
    <w:name w:val="Default"/>
    <w:rsid w:val="00B7268B"/>
    <w:pPr>
      <w:autoSpaceDE w:val="0"/>
      <w:autoSpaceDN w:val="0"/>
      <w:adjustRightInd w:val="0"/>
      <w:spacing w:after="0" w:line="240" w:lineRule="auto"/>
    </w:pPr>
    <w:rPr>
      <w:rFonts w:ascii="Times New Roman" w:cs="Times New Roman" w:hAnsi="Times New Roman"/>
      <w:color w:val="000000"/>
      <w:sz w:val="24"/>
      <w:szCs w:val="24"/>
    </w:rPr>
  </w:style>
  <w:style w:type="paragraph" w:styleId="Encabezado">
    <w:name w:val="header"/>
    <w:basedOn w:val="Normal"/>
    <w:link w:val="EncabezadoCar"/>
    <w:uiPriority w:val="99"/>
    <w:unhideWhenUsed w:val="1"/>
    <w:rsid w:val="00B7268B"/>
    <w:pPr>
      <w:tabs>
        <w:tab w:val="center" w:pos="4252"/>
        <w:tab w:val="right" w:pos="8504"/>
      </w:tabs>
    </w:pPr>
  </w:style>
  <w:style w:type="character" w:styleId="EncabezadoCar" w:customStyle="1">
    <w:name w:val="Encabezado Car"/>
    <w:basedOn w:val="Fuentedeprrafopredeter"/>
    <w:link w:val="Encabezado"/>
    <w:uiPriority w:val="99"/>
    <w:rsid w:val="00B7268B"/>
    <w:rPr>
      <w:rFonts w:ascii="Times New Roman" w:cs="Times New Roman" w:eastAsia="Calibri" w:hAnsi="Times New Roman"/>
      <w:sz w:val="20"/>
      <w:szCs w:val="20"/>
      <w:lang w:val="en-US"/>
    </w:rPr>
  </w:style>
  <w:style w:type="paragraph" w:styleId="Piedepgina">
    <w:name w:val="footer"/>
    <w:basedOn w:val="Normal"/>
    <w:link w:val="PiedepginaCar"/>
    <w:uiPriority w:val="99"/>
    <w:unhideWhenUsed w:val="1"/>
    <w:rsid w:val="00B7268B"/>
    <w:pPr>
      <w:tabs>
        <w:tab w:val="center" w:pos="4252"/>
        <w:tab w:val="right" w:pos="8504"/>
      </w:tabs>
    </w:pPr>
  </w:style>
  <w:style w:type="character" w:styleId="PiedepginaCar" w:customStyle="1">
    <w:name w:val="Pie de página Car"/>
    <w:basedOn w:val="Fuentedeprrafopredeter"/>
    <w:link w:val="Piedepgina"/>
    <w:uiPriority w:val="99"/>
    <w:rsid w:val="00B7268B"/>
    <w:rPr>
      <w:rFonts w:ascii="Times New Roman" w:cs="Times New Roman" w:eastAsia="Calibri" w:hAnsi="Times New Roman"/>
      <w:sz w:val="20"/>
      <w:szCs w:val="20"/>
      <w:lang w:val="en-US"/>
    </w:rPr>
  </w:style>
  <w:style w:type="paragraph" w:styleId="Textopredeterminado" w:customStyle="1">
    <w:name w:val="Texto predeterminado"/>
    <w:basedOn w:val="Normal"/>
    <w:uiPriority w:val="99"/>
    <w:rsid w:val="00B7268B"/>
    <w:rPr>
      <w:sz w:val="24"/>
      <w:szCs w:val="24"/>
    </w:rPr>
  </w:style>
  <w:style w:type="paragraph" w:styleId="Textodeglobo">
    <w:name w:val="Balloon Text"/>
    <w:basedOn w:val="Normal"/>
    <w:link w:val="TextodegloboCar"/>
    <w:uiPriority w:val="99"/>
    <w:semiHidden w:val="1"/>
    <w:unhideWhenUsed w:val="1"/>
    <w:rsid w:val="00B7268B"/>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7268B"/>
    <w:rPr>
      <w:rFonts w:ascii="Tahoma" w:cs="Tahoma" w:eastAsia="Calibri" w:hAnsi="Tahoma"/>
      <w:sz w:val="16"/>
      <w:szCs w:val="16"/>
      <w:lang w:val="en-US"/>
    </w:rPr>
  </w:style>
  <w:style w:type="paragraph" w:styleId="piedireccin" w:customStyle="1">
    <w:name w:val="pie dirección"/>
    <w:basedOn w:val="Normal"/>
    <w:autoRedefine w:val="1"/>
    <w:rsid w:val="00056182"/>
    <w:pPr>
      <w:tabs>
        <w:tab w:val="right" w:pos="3402"/>
        <w:tab w:val="left" w:pos="7088"/>
      </w:tabs>
      <w:autoSpaceDE w:val="1"/>
      <w:autoSpaceDN w:val="1"/>
      <w:adjustRightInd w:val="1"/>
      <w:jc w:val="right"/>
    </w:pPr>
    <w:rPr>
      <w:rFonts w:ascii="NewsGotT" w:eastAsia="Times New Roman" w:hAnsi="NewsGotT"/>
      <w:color w:val="008000"/>
      <w:w w:val="80"/>
      <w:sz w:val="16"/>
      <w:szCs w:val="24"/>
      <w:lang w:eastAsia="es-ES" w:val="es-ES"/>
    </w:rPr>
  </w:style>
  <w:style w:type="character" w:styleId="Ttulo1Car" w:customStyle="1">
    <w:name w:val="Título 1 Car"/>
    <w:basedOn w:val="Fuentedeprrafopredeter"/>
    <w:link w:val="Ttulo1"/>
    <w:rsid w:val="00FE5D2F"/>
    <w:rPr>
      <w:rFonts w:ascii="Times New Roman" w:cs="Times New Roman" w:eastAsia="Times New Roman" w:hAnsi="Times New Roman"/>
      <w:sz w:val="24"/>
      <w:szCs w:val="20"/>
      <w:lang w:eastAsia="es-ES"/>
    </w:rPr>
  </w:style>
  <w:style w:type="paragraph" w:styleId="Textoindependiente">
    <w:name w:val="Body Text"/>
    <w:basedOn w:val="Normal"/>
    <w:link w:val="TextoindependienteCar"/>
    <w:uiPriority w:val="1"/>
    <w:qFormat w:val="1"/>
    <w:rsid w:val="00DC1269"/>
    <w:pPr>
      <w:widowControl w:val="0"/>
      <w:adjustRightInd w:val="1"/>
    </w:pPr>
    <w:rPr>
      <w:rFonts w:eastAsia="Times New Roman"/>
      <w:lang w:val="es-ES"/>
    </w:rPr>
  </w:style>
  <w:style w:type="character" w:styleId="TextoindependienteCar" w:customStyle="1">
    <w:name w:val="Texto independiente Car"/>
    <w:basedOn w:val="Fuentedeprrafopredeter"/>
    <w:link w:val="Textoindependiente"/>
    <w:uiPriority w:val="1"/>
    <w:rsid w:val="00DC1269"/>
    <w:rPr>
      <w:rFonts w:ascii="Times New Roman" w:cs="Times New Roman" w:eastAsia="Times New Roman" w:hAnsi="Times New Roman"/>
      <w:sz w:val="20"/>
      <w:szCs w:val="20"/>
    </w:rPr>
  </w:style>
  <w:style w:type="paragraph" w:styleId="Prrafodelista">
    <w:name w:val="List Paragraph"/>
    <w:basedOn w:val="Normal"/>
    <w:qFormat w:val="1"/>
    <w:rsid w:val="00DC1269"/>
    <w:pPr>
      <w:widowControl w:val="0"/>
      <w:adjustRightInd w:val="1"/>
      <w:spacing w:before="4"/>
      <w:ind w:left="3604" w:hanging="703"/>
    </w:pPr>
    <w:rPr>
      <w:rFonts w:eastAsia="Times New Roman"/>
      <w:sz w:val="22"/>
      <w:szCs w:val="22"/>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adideandalucia.es/normas/ordenes/Orden20junio2011Convivencia.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ubb8VdYmKk32utuegIrvd-wddTJDwbnd/view?usp=drive_link" TargetMode="External"/><Relationship Id="rId8" Type="http://schemas.openxmlformats.org/officeDocument/2006/relationships/hyperlink" Target="https://drive.google.com/file/d/1-jx-pd-oeVKT9sLCCfm321F9rQmcnUwh/vie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23002784@juntadeandalucia.es" TargetMode="External"/><Relationship Id="rId2" Type="http://schemas.openxmlformats.org/officeDocument/2006/relationships/hyperlink" Target="mailto:23002784@g.educaan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0uCdrwJYp3uLkcqsvMB3bHmqnA==">CgMxLjA4AHIhMTl2d09hQkJIOFhpS2V2VW14VUFfRzFVaWxXb1ZBZDhq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2022-09-05T19:59:00Z</dcterms:created>
  <dc:creator>Gabriel Gómez Galán</dc:creator>
</cp:coreProperties>
</file>