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widowControl w:val="0"/>
        <w:rPr/>
      </w:pPr>
      <w:r w:rsidDel="00000000" w:rsidR="00000000" w:rsidRPr="00000000">
        <w:rPr>
          <w:rtl w:val="0"/>
        </w:rPr>
      </w:r>
    </w:p>
    <w:tbl>
      <w:tblPr>
        <w:tblStyle w:val="Table1"/>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20"/>
        <w:gridCol w:w="3099"/>
        <w:gridCol w:w="3705"/>
        <w:gridCol w:w="1485"/>
        <w:tblGridChange w:id="0">
          <w:tblGrid>
            <w:gridCol w:w="1920"/>
            <w:gridCol w:w="3099"/>
            <w:gridCol w:w="3705"/>
            <w:gridCol w:w="1485"/>
          </w:tblGrid>
        </w:tblGridChange>
      </w:tblGrid>
      <w:tr>
        <w:trPr>
          <w:cantSplit w:val="0"/>
          <w:trHeight w:val="601.1132924258709"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2">
            <w:pPr>
              <w:widowControl w:val="0"/>
              <w:spacing w:line="240" w:lineRule="auto"/>
              <w:ind w:left="-141.73228346456688" w:firstLine="0"/>
              <w:jc w:val="center"/>
              <w:rPr/>
            </w:pPr>
            <w:r w:rsidDel="00000000" w:rsidR="00000000" w:rsidRPr="00000000">
              <w:rPr/>
              <w:drawing>
                <wp:inline distB="19050" distT="19050" distL="19050" distR="19050">
                  <wp:extent cx="836362" cy="666750"/>
                  <wp:effectExtent b="0" l="0" r="0" t="0"/>
                  <wp:docPr id="3"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836362" cy="666750"/>
                          </a:xfrm>
                          <a:prstGeom prst="rect"/>
                          <a:ln/>
                        </pic:spPr>
                      </pic:pic>
                    </a:graphicData>
                  </a:graphic>
                </wp:inline>
              </w:drawing>
            </w:r>
            <w:r w:rsidDel="00000000" w:rsidR="00000000" w:rsidRPr="00000000">
              <w:rPr>
                <w:rtl w:val="0"/>
              </w:rPr>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ind w:left="770.3662109375" w:firstLine="0"/>
              <w:jc w:val="left"/>
              <w:rPr>
                <w:b w:val="1"/>
                <w:sz w:val="32"/>
                <w:szCs w:val="32"/>
              </w:rPr>
            </w:pPr>
            <w:r w:rsidDel="00000000" w:rsidR="00000000" w:rsidRPr="00000000">
              <w:rPr>
                <w:b w:val="1"/>
                <w:color w:val="283f69"/>
                <w:sz w:val="32"/>
                <w:szCs w:val="32"/>
                <w:rtl w:val="0"/>
              </w:rPr>
              <w:t xml:space="preserve">IES CELTI</w:t>
            </w:r>
            <w:r w:rsidDel="00000000" w:rsidR="00000000" w:rsidRPr="00000000">
              <w:rPr>
                <w:b w:val="1"/>
                <w:sz w:val="32"/>
                <w:szCs w:val="32"/>
                <w:rtl w:val="0"/>
              </w:rPr>
              <w:t xml:space="preserve"> </w:t>
            </w:r>
          </w:p>
        </w:tc>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004">
            <w:pPr>
              <w:widowControl w:val="0"/>
              <w:spacing w:before="0" w:line="240" w:lineRule="auto"/>
              <w:jc w:val="center"/>
              <w:rPr>
                <w:b w:val="1"/>
                <w:color w:val="f57222"/>
                <w:sz w:val="32"/>
                <w:szCs w:val="32"/>
              </w:rPr>
            </w:pPr>
            <w:r w:rsidDel="00000000" w:rsidR="00000000" w:rsidRPr="00000000">
              <w:rPr>
                <w:b w:val="1"/>
                <w:color w:val="283f69"/>
                <w:sz w:val="32"/>
                <w:szCs w:val="32"/>
                <w:rtl w:val="0"/>
              </w:rPr>
              <w:t xml:space="preserve">CURSO </w:t>
            </w:r>
            <w:r w:rsidDel="00000000" w:rsidR="00000000" w:rsidRPr="00000000">
              <w:rPr>
                <w:b w:val="1"/>
                <w:color w:val="f57222"/>
                <w:sz w:val="32"/>
                <w:szCs w:val="32"/>
                <w:rtl w:val="0"/>
              </w:rPr>
              <w:t xml:space="preserve">2024/25</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05">
            <w:pPr>
              <w:widowControl w:val="0"/>
              <w:spacing w:line="240" w:lineRule="auto"/>
              <w:jc w:val="center"/>
              <w:rPr>
                <w:rFonts w:ascii="Calibri" w:cs="Calibri" w:eastAsia="Calibri" w:hAnsi="Calibri"/>
                <w:sz w:val="27.959999084472656"/>
                <w:szCs w:val="27.959999084472656"/>
              </w:rPr>
            </w:pPr>
            <w:r w:rsidDel="00000000" w:rsidR="00000000" w:rsidRPr="00000000">
              <w:rPr>
                <w:rFonts w:ascii="Calibri" w:cs="Calibri" w:eastAsia="Calibri" w:hAnsi="Calibri"/>
                <w:sz w:val="27.959999084472656"/>
                <w:szCs w:val="27.959999084472656"/>
              </w:rPr>
              <w:drawing>
                <wp:inline distB="19050" distT="19050" distL="19050" distR="19050">
                  <wp:extent cx="659062" cy="547792"/>
                  <wp:effectExtent b="0" l="0" r="0" t="0"/>
                  <wp:docPr id="4"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659062" cy="547792"/>
                          </a:xfrm>
                          <a:prstGeom prst="rect"/>
                          <a:ln/>
                        </pic:spPr>
                      </pic:pic>
                    </a:graphicData>
                  </a:graphic>
                </wp:inline>
              </w:drawing>
            </w: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r>
      <w:tr>
        <w:trPr>
          <w:cantSplit w:val="0"/>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sz w:val="27.959999084472656"/>
                <w:szCs w:val="27.959999084472656"/>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B">
            <w:pPr>
              <w:widowControl w:val="0"/>
              <w:spacing w:line="240" w:lineRule="auto"/>
              <w:jc w:val="center"/>
              <w:rPr>
                <w:b w:val="1"/>
                <w:color w:val="283f69"/>
                <w:sz w:val="36"/>
                <w:szCs w:val="36"/>
              </w:rPr>
            </w:pPr>
            <w:r w:rsidDel="00000000" w:rsidR="00000000" w:rsidRPr="00000000">
              <w:rPr>
                <w:b w:val="1"/>
                <w:color w:val="283f69"/>
                <w:sz w:val="36"/>
                <w:szCs w:val="36"/>
                <w:rtl w:val="0"/>
              </w:rPr>
              <w:t xml:space="preserve">PRESENTACIÓN DE MATERIAS</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color w:val="283f69"/>
                <w:sz w:val="36"/>
                <w:szCs w:val="36"/>
              </w:rPr>
            </w:pPr>
            <w:r w:rsidDel="00000000" w:rsidR="00000000" w:rsidRPr="00000000">
              <w:rPr>
                <w:rtl w:val="0"/>
              </w:rPr>
            </w:r>
          </w:p>
        </w:tc>
      </w:tr>
    </w:tbl>
    <w:p w:rsidR="00000000" w:rsidDel="00000000" w:rsidP="00000000" w:rsidRDefault="00000000" w:rsidRPr="00000000" w14:paraId="0000000E">
      <w:pPr>
        <w:pageBreakBefore w:val="0"/>
        <w:widowControl w:val="0"/>
        <w:rPr/>
      </w:pPr>
      <w:r w:rsidDel="00000000" w:rsidR="00000000" w:rsidRPr="00000000">
        <w:rPr>
          <w:rtl w:val="0"/>
        </w:rPr>
      </w:r>
    </w:p>
    <w:tbl>
      <w:tblPr>
        <w:tblStyle w:val="Table2"/>
        <w:tblW w:w="1020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389"/>
        <w:gridCol w:w="2820"/>
        <w:tblGridChange w:id="0">
          <w:tblGrid>
            <w:gridCol w:w="7389"/>
            <w:gridCol w:w="282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00F">
            <w:pPr>
              <w:widowControl w:val="0"/>
              <w:spacing w:line="240" w:lineRule="auto"/>
              <w:rPr>
                <w:color w:val="283f69"/>
              </w:rPr>
            </w:pPr>
            <w:r w:rsidDel="00000000" w:rsidR="00000000" w:rsidRPr="00000000">
              <w:rPr>
                <w:b w:val="1"/>
                <w:color w:val="283f69"/>
                <w:sz w:val="24"/>
                <w:szCs w:val="24"/>
                <w:rtl w:val="0"/>
              </w:rPr>
              <w:t xml:space="preserve">MATERIA: </w:t>
            </w:r>
            <w:r w:rsidDel="00000000" w:rsidR="00000000" w:rsidRPr="00000000">
              <w:rPr>
                <w:color w:val="283f69"/>
                <w:sz w:val="24"/>
                <w:szCs w:val="24"/>
                <w:rtl w:val="0"/>
              </w:rPr>
              <w:t xml:space="preserve">   Tecnología</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spacing w:line="240" w:lineRule="auto"/>
              <w:rPr>
                <w:color w:val="283f69"/>
              </w:rPr>
            </w:pPr>
            <w:r w:rsidDel="00000000" w:rsidR="00000000" w:rsidRPr="00000000">
              <w:rPr>
                <w:b w:val="1"/>
                <w:color w:val="283f69"/>
                <w:sz w:val="24"/>
                <w:szCs w:val="24"/>
                <w:rtl w:val="0"/>
              </w:rPr>
              <w:t xml:space="preserve">NIVEL: </w:t>
            </w:r>
            <w:r w:rsidDel="00000000" w:rsidR="00000000" w:rsidRPr="00000000">
              <w:rPr>
                <w:color w:val="283f69"/>
                <w:sz w:val="24"/>
                <w:szCs w:val="24"/>
                <w:rtl w:val="0"/>
              </w:rPr>
              <w:t xml:space="preserve"> 4</w:t>
            </w:r>
            <w:r w:rsidDel="00000000" w:rsidR="00000000" w:rsidRPr="00000000">
              <w:rPr>
                <w:rtl w:val="0"/>
              </w:rPr>
            </w:r>
          </w:p>
        </w:tc>
      </w:tr>
      <w:tr>
        <w:trPr>
          <w:cantSplit w:val="0"/>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widowControl w:val="0"/>
              <w:spacing w:line="240" w:lineRule="auto"/>
              <w:rPr>
                <w:color w:val="283f69"/>
              </w:rPr>
            </w:pPr>
            <w:r w:rsidDel="00000000" w:rsidR="00000000" w:rsidRPr="00000000">
              <w:rPr>
                <w:b w:val="1"/>
                <w:color w:val="283f69"/>
                <w:sz w:val="24"/>
                <w:szCs w:val="24"/>
                <w:rtl w:val="0"/>
              </w:rPr>
              <w:t xml:space="preserve">PROFESOR: </w:t>
            </w:r>
            <w:r w:rsidDel="00000000" w:rsidR="00000000" w:rsidRPr="00000000">
              <w:rPr>
                <w:color w:val="283f69"/>
                <w:sz w:val="24"/>
                <w:szCs w:val="24"/>
                <w:rtl w:val="0"/>
              </w:rPr>
              <w:t xml:space="preserve"> Antonio Hinojosa Toro</w:t>
            </w:r>
            <w:r w:rsidDel="00000000" w:rsidR="00000000" w:rsidRPr="00000000">
              <w:rPr>
                <w:rtl w:val="0"/>
              </w:rPr>
            </w:r>
          </w:p>
        </w:tc>
      </w:tr>
    </w:tbl>
    <w:p w:rsidR="00000000" w:rsidDel="00000000" w:rsidP="00000000" w:rsidRDefault="00000000" w:rsidRPr="00000000" w14:paraId="00000013">
      <w:pPr>
        <w:pageBreakBefore w:val="0"/>
        <w:widowControl w:val="0"/>
        <w:rPr/>
      </w:pPr>
      <w:r w:rsidDel="00000000" w:rsidR="00000000" w:rsidRPr="00000000">
        <w:rPr>
          <w:rtl w:val="0"/>
        </w:rPr>
      </w:r>
    </w:p>
    <w:tbl>
      <w:tblPr>
        <w:tblStyle w:val="Table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14">
            <w:pPr>
              <w:pStyle w:val="Heading1"/>
              <w:numPr>
                <w:ilvl w:val="0"/>
                <w:numId w:val="3"/>
              </w:numPr>
              <w:ind w:left="720" w:hanging="360"/>
              <w:rPr/>
            </w:pPr>
            <w:bookmarkStart w:colFirst="0" w:colLast="0" w:name="_heading=h.gjdgxs" w:id="0"/>
            <w:bookmarkEnd w:id="0"/>
            <w:r w:rsidDel="00000000" w:rsidR="00000000" w:rsidRPr="00000000">
              <w:rPr>
                <w:rtl w:val="0"/>
              </w:rPr>
              <w:t xml:space="preserve">DISTRIBUCIÓN TRIMESTRAL DE CONTENIDOS.</w:t>
            </w:r>
          </w:p>
        </w:tc>
      </w:tr>
    </w:tbl>
    <w:p w:rsidR="00000000" w:rsidDel="00000000" w:rsidP="00000000" w:rsidRDefault="00000000" w:rsidRPr="00000000" w14:paraId="00000015">
      <w:pPr>
        <w:pageBreakBefore w:val="0"/>
        <w:widowControl w:val="0"/>
        <w:rPr>
          <w:sz w:val="2"/>
          <w:szCs w:val="2"/>
        </w:rPr>
      </w:pPr>
      <w:r w:rsidDel="00000000" w:rsidR="00000000" w:rsidRPr="00000000">
        <w:rPr>
          <w:sz w:val="2"/>
          <w:szCs w:val="2"/>
          <w:rtl w:val="0"/>
        </w:rPr>
        <w:t xml:space="preserve">SEcc</w:t>
      </w:r>
    </w:p>
    <w:tbl>
      <w:tblPr>
        <w:tblStyle w:val="Table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85"/>
        <w:gridCol w:w="5475"/>
        <w:gridCol w:w="3249"/>
        <w:tblGridChange w:id="0">
          <w:tblGrid>
            <w:gridCol w:w="1485"/>
            <w:gridCol w:w="5475"/>
            <w:gridCol w:w="324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16">
            <w:pPr>
              <w:widowControl w:val="0"/>
              <w:spacing w:line="240" w:lineRule="auto"/>
              <w:ind w:left="113.280334472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Trimestre </w:t>
            </w:r>
          </w:p>
        </w:tc>
        <w:tc>
          <w:tcPr>
            <w:gridSpan w:val="2"/>
            <w:shd w:fill="acc730" w:val="clear"/>
            <w:tcMar>
              <w:top w:w="100.0" w:type="dxa"/>
              <w:left w:w="100.0" w:type="dxa"/>
              <w:bottom w:w="100.0" w:type="dxa"/>
              <w:right w:w="100.0" w:type="dxa"/>
            </w:tcMar>
            <w:vAlign w:val="top"/>
          </w:tcPr>
          <w:p w:rsidR="00000000" w:rsidDel="00000000" w:rsidP="00000000" w:rsidRDefault="00000000" w:rsidRPr="00000000" w14:paraId="00000017">
            <w:pPr>
              <w:widowControl w:val="0"/>
              <w:spacing w:line="240" w:lineRule="auto"/>
              <w:ind w:left="122.87994384765625" w:firstLine="0"/>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Secuenciación</w:t>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9">
            <w:pPr>
              <w:widowControl w:val="0"/>
              <w:spacing w:line="240" w:lineRule="auto"/>
              <w:ind w:left="131.76025390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A">
            <w:pPr>
              <w:widowControl w:val="0"/>
              <w:numPr>
                <w:ilvl w:val="0"/>
                <w:numId w:val="1"/>
              </w:numPr>
              <w:spacing w:after="0" w:before="8.21533203125"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Electricidad </w:t>
            </w:r>
            <w:r w:rsidDel="00000000" w:rsidR="00000000" w:rsidRPr="00000000">
              <w:rPr>
                <w:rtl w:val="0"/>
              </w:rPr>
            </w:r>
          </w:p>
          <w:p w:rsidR="00000000" w:rsidDel="00000000" w:rsidP="00000000" w:rsidRDefault="00000000" w:rsidRPr="00000000" w14:paraId="0000001B">
            <w:pPr>
              <w:widowControl w:val="0"/>
              <w:numPr>
                <w:ilvl w:val="0"/>
                <w:numId w:val="1"/>
              </w:numPr>
              <w:spacing w:before="0" w:line="240" w:lineRule="auto"/>
              <w:ind w:left="720" w:hanging="360"/>
              <w:rPr>
                <w:rFonts w:ascii="Calibri" w:cs="Calibri" w:eastAsia="Calibri" w:hAnsi="Calibri"/>
                <w:sz w:val="24"/>
                <w:szCs w:val="24"/>
                <w:u w:val="none"/>
              </w:rPr>
            </w:pPr>
            <w:r w:rsidDel="00000000" w:rsidR="00000000" w:rsidRPr="00000000">
              <w:rPr>
                <w:rFonts w:ascii="Calibri" w:cs="Calibri" w:eastAsia="Calibri" w:hAnsi="Calibri"/>
                <w:sz w:val="24"/>
                <w:szCs w:val="24"/>
                <w:rtl w:val="0"/>
              </w:rPr>
              <w:t xml:space="preserve">Electrónica</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1D">
            <w:pPr>
              <w:widowControl w:val="0"/>
              <w:spacing w:line="240" w:lineRule="auto"/>
              <w:ind w:left="120.000305175781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Segundo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1.959999084472656"/>
                <w:szCs w:val="21.959999084472656"/>
                <w:rtl w:val="0"/>
              </w:rPr>
              <w:t xml:space="preserve">La energía y su transformación</w:t>
            </w:r>
            <w:r w:rsidDel="00000000" w:rsidR="00000000" w:rsidRPr="00000000">
              <w:rPr>
                <w:rtl w:val="0"/>
              </w:rPr>
            </w:r>
          </w:p>
          <w:p w:rsidR="00000000" w:rsidDel="00000000" w:rsidP="00000000" w:rsidRDefault="00000000" w:rsidRPr="00000000" w14:paraId="0000001F">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1.959999084472656"/>
                <w:szCs w:val="21.959999084472656"/>
                <w:u w:val="none"/>
              </w:rPr>
            </w:pPr>
            <w:r w:rsidDel="00000000" w:rsidR="00000000" w:rsidRPr="00000000">
              <w:rPr>
                <w:rFonts w:ascii="Calibri" w:cs="Calibri" w:eastAsia="Calibri" w:hAnsi="Calibri"/>
                <w:sz w:val="21.959999084472656"/>
                <w:szCs w:val="21.959999084472656"/>
                <w:rtl w:val="0"/>
              </w:rPr>
              <w:t xml:space="preserve">Comunicaciones</w:t>
            </w:r>
            <w:r w:rsidDel="00000000" w:rsidR="00000000" w:rsidRPr="00000000">
              <w:rPr>
                <w:rtl w:val="0"/>
              </w:rPr>
            </w:r>
          </w:p>
        </w:tc>
      </w:tr>
      <w:tr>
        <w:trPr>
          <w:cantSplit w:val="0"/>
          <w:tblHeader w:val="0"/>
        </w:trPr>
        <w:tc>
          <w:tcPr>
            <w:shd w:fill="e8acb3"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ind w:left="113.28033447265625" w:firstLine="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Tercer trimestre</w:t>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8.21533203125" w:line="240" w:lineRule="auto"/>
              <w:ind w:left="720" w:right="0" w:hanging="360"/>
              <w:jc w:val="left"/>
              <w:rPr>
                <w:rFonts w:ascii="Calibri" w:cs="Calibri" w:eastAsia="Calibri" w:hAnsi="Calibri"/>
                <w:sz w:val="24"/>
                <w:szCs w:val="24"/>
                <w:u w:val="none"/>
              </w:rPr>
            </w:pPr>
            <w:r w:rsidDel="00000000" w:rsidR="00000000" w:rsidRPr="00000000">
              <w:rPr>
                <w:rFonts w:ascii="Calibri" w:cs="Calibri" w:eastAsia="Calibri" w:hAnsi="Calibri"/>
                <w:sz w:val="21.959999084472656"/>
                <w:szCs w:val="21.959999084472656"/>
                <w:rtl w:val="0"/>
              </w:rPr>
              <w:t xml:space="preserve">Tecnología y medio ambiente</w:t>
            </w:r>
            <w:r w:rsidDel="00000000" w:rsidR="00000000" w:rsidRPr="00000000">
              <w:rPr>
                <w:rtl w:val="0"/>
              </w:rPr>
            </w:r>
          </w:p>
          <w:p w:rsidR="00000000" w:rsidDel="00000000" w:rsidP="00000000" w:rsidRDefault="00000000" w:rsidRPr="00000000" w14:paraId="00000023">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sz w:val="21.959999084472656"/>
                <w:szCs w:val="21.959999084472656"/>
                <w:u w:val="none"/>
              </w:rPr>
            </w:pPr>
            <w:r w:rsidDel="00000000" w:rsidR="00000000" w:rsidRPr="00000000">
              <w:rPr>
                <w:rFonts w:ascii="Calibri" w:cs="Calibri" w:eastAsia="Calibri" w:hAnsi="Calibri"/>
                <w:sz w:val="21.959999084472656"/>
                <w:szCs w:val="21.959999084472656"/>
                <w:rtl w:val="0"/>
              </w:rPr>
              <w:t xml:space="preserve">Comunicaciones</w:t>
            </w:r>
            <w:r w:rsidDel="00000000" w:rsidR="00000000" w:rsidRPr="00000000">
              <w:rPr>
                <w:rtl w:val="0"/>
              </w:rPr>
            </w:r>
          </w:p>
        </w:tc>
      </w:tr>
    </w:tbl>
    <w:p w:rsidR="00000000" w:rsidDel="00000000" w:rsidP="00000000" w:rsidRDefault="00000000" w:rsidRPr="00000000" w14:paraId="00000025">
      <w:pPr>
        <w:pageBreakBefore w:val="0"/>
        <w:widowControl w:val="0"/>
        <w:rPr/>
      </w:pPr>
      <w:r w:rsidDel="00000000" w:rsidR="00000000" w:rsidRPr="00000000">
        <w:rPr>
          <w:rtl w:val="0"/>
        </w:rPr>
      </w:r>
    </w:p>
    <w:tbl>
      <w:tblPr>
        <w:tblStyle w:val="Table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f1c232" w:val="clear"/>
            <w:tcMar>
              <w:top w:w="100.0" w:type="dxa"/>
              <w:left w:w="100.0" w:type="dxa"/>
              <w:bottom w:w="100.0" w:type="dxa"/>
              <w:right w:w="100.0" w:type="dxa"/>
            </w:tcMar>
            <w:vAlign w:val="top"/>
          </w:tcPr>
          <w:p w:rsidR="00000000" w:rsidDel="00000000" w:rsidP="00000000" w:rsidRDefault="00000000" w:rsidRPr="00000000" w14:paraId="00000026">
            <w:pPr>
              <w:pStyle w:val="Heading1"/>
              <w:widowControl w:val="0"/>
              <w:numPr>
                <w:ilvl w:val="0"/>
                <w:numId w:val="3"/>
              </w:numPr>
              <w:spacing w:line="240" w:lineRule="auto"/>
              <w:ind w:left="720" w:hanging="360"/>
              <w:rPr/>
            </w:pPr>
            <w:bookmarkStart w:colFirst="0" w:colLast="0" w:name="_heading=h.30j0zll" w:id="1"/>
            <w:bookmarkEnd w:id="1"/>
            <w:r w:rsidDel="00000000" w:rsidR="00000000" w:rsidRPr="00000000">
              <w:rPr>
                <w:rtl w:val="0"/>
              </w:rPr>
              <w:t xml:space="preserve">EVALUACIÓN.</w:t>
            </w:r>
          </w:p>
        </w:tc>
      </w:tr>
    </w:tbl>
    <w:p w:rsidR="00000000" w:rsidDel="00000000" w:rsidP="00000000" w:rsidRDefault="00000000" w:rsidRPr="00000000" w14:paraId="00000027">
      <w:pPr>
        <w:pageBreakBefore w:val="0"/>
        <w:widowControl w:val="0"/>
        <w:rPr>
          <w:sz w:val="2"/>
          <w:szCs w:val="2"/>
        </w:rPr>
      </w:pPr>
      <w:r w:rsidDel="00000000" w:rsidR="00000000" w:rsidRPr="00000000">
        <w:rPr>
          <w:rtl w:val="0"/>
        </w:rPr>
      </w:r>
    </w:p>
    <w:tbl>
      <w:tblPr>
        <w:tblStyle w:val="Table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28">
            <w:pPr>
              <w:pStyle w:val="Heading2"/>
              <w:widowControl w:val="0"/>
              <w:spacing w:line="240" w:lineRule="auto"/>
              <w:rPr>
                <w:b w:val="1"/>
                <w:shd w:fill="acc730" w:val="clear"/>
              </w:rPr>
            </w:pPr>
            <w:bookmarkStart w:colFirst="0" w:colLast="0" w:name="_heading=h.1fob9te" w:id="2"/>
            <w:bookmarkEnd w:id="2"/>
            <w:r w:rsidDel="00000000" w:rsidR="00000000" w:rsidRPr="00000000">
              <w:rPr>
                <w:rtl w:val="0"/>
              </w:rPr>
              <w:t xml:space="preserve">2.1. CRITERIOS DE EVALUACIÓN.</w:t>
            </w:r>
            <w:r w:rsidDel="00000000" w:rsidR="00000000" w:rsidRPr="00000000">
              <w:rPr>
                <w:rtl w:val="0"/>
              </w:rPr>
            </w:r>
          </w:p>
        </w:tc>
      </w:tr>
    </w:tbl>
    <w:p w:rsidR="00000000" w:rsidDel="00000000" w:rsidP="00000000" w:rsidRDefault="00000000" w:rsidRPr="00000000" w14:paraId="00000029">
      <w:pPr>
        <w:pageBreakBefore w:val="0"/>
        <w:widowControl w:val="0"/>
        <w:rPr>
          <w:sz w:val="2"/>
          <w:szCs w:val="2"/>
        </w:rPr>
      </w:pPr>
      <w:r w:rsidDel="00000000" w:rsidR="00000000" w:rsidRPr="00000000">
        <w:rPr>
          <w:rtl w:val="0"/>
        </w:rPr>
      </w:r>
    </w:p>
    <w:tbl>
      <w:tblPr>
        <w:tblStyle w:val="Table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Lines w:val="1"/>
              <w:widowControl w:val="0"/>
              <w:spacing w:after="240" w:before="240" w:line="240" w:lineRule="auto"/>
              <w:jc w:val="both"/>
              <w:rPr/>
            </w:pPr>
            <w:r w:rsidDel="00000000" w:rsidR="00000000" w:rsidRPr="00000000">
              <w:rPr>
                <w:b w:val="1"/>
                <w:rtl w:val="0"/>
              </w:rPr>
              <w:t xml:space="preserve">1.</w:t>
            </w:r>
            <w:r w:rsidDel="00000000" w:rsidR="00000000" w:rsidRPr="00000000">
              <w:rPr>
                <w:rtl w:val="0"/>
              </w:rPr>
              <w:t xml:space="preserve"> Valorar las necesidades del proceso tecnológico empleando la resolución técnica de problemas analizando su contexto, proponiendo soluciones alternativas y desarrollando la más adecuada. Elaborar documentos técnicos empleando recursos verbales y gráficos. Con este criterio se trata de evaluar el conocimiento del alumnado sobre la actividad técnica. Esta capacidad se concreta en la elaboración de un plan de trabajo para ejecutar un proyecto técnico: conjunto de documentos con un orden lógico de operaciones, con la previsión de tiempos y recursos materiales, con dibujos, cálculos numéricos, presupuesto, listas de piezas y explicaciones. Se ha de evaluar la cooperación y el trabajo en equipo en un clima de tolerancia hacia las ideas y opiniones de los demás. Se debe valorar, asimismo, el empleo de un vocabulario específico y de modos de expresión técnicamente apropiados.</w:t>
            </w:r>
          </w:p>
          <w:p w:rsidR="00000000" w:rsidDel="00000000" w:rsidP="00000000" w:rsidRDefault="00000000" w:rsidRPr="00000000" w14:paraId="0000002B">
            <w:pPr>
              <w:keepLines w:val="1"/>
              <w:widowControl w:val="0"/>
              <w:spacing w:after="240" w:before="240" w:line="240" w:lineRule="auto"/>
              <w:jc w:val="both"/>
              <w:rPr/>
            </w:pPr>
            <w:r w:rsidDel="00000000" w:rsidR="00000000" w:rsidRPr="00000000">
              <w:rPr>
                <w:b w:val="1"/>
                <w:rtl w:val="0"/>
              </w:rPr>
              <w:t xml:space="preserve">2.</w:t>
            </w:r>
            <w:r w:rsidDel="00000000" w:rsidR="00000000" w:rsidRPr="00000000">
              <w:rPr>
                <w:rtl w:val="0"/>
              </w:rPr>
              <w:t xml:space="preserve"> Realizar las operaciones técnicas previstas en un plan de trabajo utilizando los recursos materiales y organizativos con criterios de economía, seguridad y respeto al medio ambiente y valorando las condiciones del entorno de trabajo. Se pretende evaluar la capacidad de construcción del alumnado, siguiendo el orden marcado en el plan de trabajo. Las pautas para alcanzar el grado de desarrollo fijado son: el cuidado en el uso de herramientas, máquinas e instrumentos, el aprovechamiento de materiales, el uso de elementos reciclados y el trabajo respetando las normas de seguridad y salud. El grado de acabado debe mantenerse dentro de unos márgenes dimensionales y estéticos aceptables.</w:t>
            </w:r>
          </w:p>
          <w:p w:rsidR="00000000" w:rsidDel="00000000" w:rsidP="00000000" w:rsidRDefault="00000000" w:rsidRPr="00000000" w14:paraId="0000002C">
            <w:pPr>
              <w:keepLines w:val="1"/>
              <w:widowControl w:val="0"/>
              <w:spacing w:after="240" w:before="240" w:line="240" w:lineRule="auto"/>
              <w:jc w:val="both"/>
              <w:rPr/>
            </w:pPr>
            <w:r w:rsidDel="00000000" w:rsidR="00000000" w:rsidRPr="00000000">
              <w:rPr>
                <w:b w:val="1"/>
                <w:rtl w:val="0"/>
              </w:rPr>
              <w:t xml:space="preserve">3.</w:t>
            </w:r>
            <w:r w:rsidDel="00000000" w:rsidR="00000000" w:rsidRPr="00000000">
              <w:rPr>
                <w:rtl w:val="0"/>
              </w:rPr>
              <w:t xml:space="preserve"> Identificar y conectar componentes físicos de un ordenador y otros dispositivos electrónicos. Manejar el entorno gráfico de los sistemas operativos como interfaz de comunicación con la máquina. Se busca valorar la adquisición de las habilidades necesarias para administrar un sistema informático personal. Los alumnos han de ser capaces de conectar dispositivos externos e interconectarlos con otros sistemas, personalizar los entornos gráficos,</w:t>
            </w:r>
          </w:p>
          <w:p w:rsidR="00000000" w:rsidDel="00000000" w:rsidP="00000000" w:rsidRDefault="00000000" w:rsidRPr="00000000" w14:paraId="0000002D">
            <w:pPr>
              <w:keepLines w:val="1"/>
              <w:widowControl w:val="0"/>
              <w:spacing w:after="240" w:before="240" w:line="240" w:lineRule="auto"/>
              <w:jc w:val="both"/>
              <w:rPr/>
            </w:pPr>
            <w:r w:rsidDel="00000000" w:rsidR="00000000" w:rsidRPr="00000000">
              <w:rPr>
                <w:rtl w:val="0"/>
              </w:rPr>
              <w:t xml:space="preserve">gestionar los diferentes tipos de documentos almacenando y recuperando la información en diferentes soportes. Deberán, asimismo, realizar las tareas básicas de instalación de aplicaciones, mantenimiento y actualización que mantengan el sistema en un nivel de seguridad y rendimiento.</w:t>
            </w:r>
          </w:p>
          <w:p w:rsidR="00000000" w:rsidDel="00000000" w:rsidP="00000000" w:rsidRDefault="00000000" w:rsidRPr="00000000" w14:paraId="0000002E">
            <w:pPr>
              <w:keepLines w:val="1"/>
              <w:widowControl w:val="0"/>
              <w:spacing w:after="240" w:before="240" w:line="240" w:lineRule="auto"/>
              <w:jc w:val="both"/>
              <w:rPr/>
            </w:pPr>
            <w:r w:rsidDel="00000000" w:rsidR="00000000" w:rsidRPr="00000000">
              <w:rPr>
                <w:b w:val="1"/>
                <w:rtl w:val="0"/>
              </w:rPr>
              <w:t xml:space="preserve">4.</w:t>
            </w:r>
            <w:r w:rsidDel="00000000" w:rsidR="00000000" w:rsidRPr="00000000">
              <w:rPr>
                <w:rtl w:val="0"/>
              </w:rPr>
              <w:t xml:space="preserve"> Describir propiedades básicas de materiales técnicos y sus variedades comerciales: madera, metales, materiales plásticos, cerámicos y pétreos. Identificarlos en aplicaciones comunes y emplear técnicas básicas de conformación, unión y acabado. Con este criterio se busca evaluar el grado de conocimiento de las propiedades mecánicas, eléctricas y térmicas de los materiales empleados en los proyectos; relacionar dichas propiedades con la aplicación de cada material en la fabricación de objetos comunes, así como conocer y utilizar adecuadamente las técnicas de conformación, unión y acabado empleadas en su proceso constructivo, manteniendo criterios de tolerancia dimensional y seguridad.</w:t>
            </w:r>
          </w:p>
          <w:p w:rsidR="00000000" w:rsidDel="00000000" w:rsidP="00000000" w:rsidRDefault="00000000" w:rsidRPr="00000000" w14:paraId="0000002F">
            <w:pPr>
              <w:keepLines w:val="1"/>
              <w:widowControl w:val="0"/>
              <w:spacing w:after="240" w:before="240" w:line="240" w:lineRule="auto"/>
              <w:jc w:val="both"/>
              <w:rPr/>
            </w:pPr>
            <w:r w:rsidDel="00000000" w:rsidR="00000000" w:rsidRPr="00000000">
              <w:rPr>
                <w:b w:val="1"/>
                <w:rtl w:val="0"/>
              </w:rPr>
              <w:t xml:space="preserve">5.</w:t>
            </w:r>
            <w:r w:rsidDel="00000000" w:rsidR="00000000" w:rsidRPr="00000000">
              <w:rPr>
                <w:rtl w:val="0"/>
              </w:rPr>
              <w:t xml:space="preserve"> Representar mediante vistas y perspectivas objetos y sistemas técnicos sencillos, aplicando criterios de normalización. Se trata de valorar la capacidad de los alumnos para representar objetos y sistemas técnicos en proyección diédrica: alzado, planta y perfil, así como, la obtención de su perspectiva caballera, como herramienta en el desarrollo de proyectos técnicos. Se pretende evaluar la adquisición de destrezas para su realización tanto a mano alzada, como mediante instrumentos de dibujo y aplicaciones de diseño gráfico por ordenador. Para ello se deberán seguir los criterios normalizados de acotación y escala.</w:t>
            </w:r>
          </w:p>
          <w:p w:rsidR="00000000" w:rsidDel="00000000" w:rsidP="00000000" w:rsidRDefault="00000000" w:rsidRPr="00000000" w14:paraId="00000030">
            <w:pPr>
              <w:keepLines w:val="1"/>
              <w:widowControl w:val="0"/>
              <w:spacing w:after="240" w:before="240" w:line="240" w:lineRule="auto"/>
              <w:jc w:val="both"/>
              <w:rPr/>
            </w:pPr>
            <w:r w:rsidDel="00000000" w:rsidR="00000000" w:rsidRPr="00000000">
              <w:rPr>
                <w:b w:val="1"/>
                <w:rtl w:val="0"/>
              </w:rPr>
              <w:t xml:space="preserve">6.</w:t>
            </w:r>
            <w:r w:rsidDel="00000000" w:rsidR="00000000" w:rsidRPr="00000000">
              <w:rPr>
                <w:rtl w:val="0"/>
              </w:rPr>
              <w:t xml:space="preserve"> Elaborar, almacenar y recuperar documentos en soporte electrónico que incorporen información textual y gráfica. Se pretende evaluar las habilidades básicas para la realización de documentos que integren información textual, imágenes y gráficos utilizando hojas de cálculo y procesadores de texto. Para lograrlo se han de aplicar los procedimientos y funcionalidades propias de cada aplicación para obtener documentos progresivamente más complejos y de mayor perfección en cuanto a estructuración y presentación, almacenándolos en soportes físicos locales o remotos.</w:t>
            </w:r>
          </w:p>
          <w:p w:rsidR="00000000" w:rsidDel="00000000" w:rsidP="00000000" w:rsidRDefault="00000000" w:rsidRPr="00000000" w14:paraId="00000031">
            <w:pPr>
              <w:keepLines w:val="1"/>
              <w:widowControl w:val="0"/>
              <w:spacing w:after="240" w:before="240" w:line="240" w:lineRule="auto"/>
              <w:jc w:val="both"/>
              <w:rPr/>
            </w:pPr>
            <w:r w:rsidDel="00000000" w:rsidR="00000000" w:rsidRPr="00000000">
              <w:rPr>
                <w:b w:val="1"/>
                <w:rtl w:val="0"/>
              </w:rPr>
              <w:t xml:space="preserve">7.</w:t>
            </w:r>
            <w:r w:rsidDel="00000000" w:rsidR="00000000" w:rsidRPr="00000000">
              <w:rPr>
                <w:rtl w:val="0"/>
              </w:rPr>
              <w:t xml:space="preserve"> Analizar y describir en las estructuras del entorno los elementos resistentes y los esfuerzos a que están sometidos. Se trata de comprobar si el alumno ha logrado comprender la función de los elementos que constituyen las estructuras: vigas, pilares, zapatas, tensores, arcos e identificar los esfuerzos a los que están sometidos: tracción, compresión y flexión valorando el efecto de dichos esfuerzos sobre los elementos estructurales de los prototipos fabricados en el aula-taller.</w:t>
            </w:r>
          </w:p>
          <w:p w:rsidR="00000000" w:rsidDel="00000000" w:rsidP="00000000" w:rsidRDefault="00000000" w:rsidRPr="00000000" w14:paraId="00000032">
            <w:pPr>
              <w:keepLines w:val="1"/>
              <w:widowControl w:val="0"/>
              <w:spacing w:after="240" w:before="240" w:line="240" w:lineRule="auto"/>
              <w:jc w:val="both"/>
              <w:rPr/>
            </w:pPr>
            <w:r w:rsidDel="00000000" w:rsidR="00000000" w:rsidRPr="00000000">
              <w:rPr>
                <w:b w:val="1"/>
                <w:rtl w:val="0"/>
              </w:rPr>
              <w:t xml:space="preserve">8.</w:t>
            </w:r>
            <w:r w:rsidDel="00000000" w:rsidR="00000000" w:rsidRPr="00000000">
              <w:rPr>
                <w:rtl w:val="0"/>
              </w:rPr>
              <w:t xml:space="preserve"> Identificar y manejar operadores mecánicos encargados de la transformación y transmisión de movimientos en máquinas. Explicar su funcionamiento en el conjunto y, en su caso, calcular la relación de transmisión. Se pretende evaluar el conocimiento de los distintos movimientos empleados en máquinas: rectilíneo, circular y de vaivén. Conocer los mecanismos de transformación y transmisión de movimientos, así como su función dentro del conjunto de la máquina. Los alumnos deben ser capaces de construir maquetas con diferentes operadores mecánicos y de realizar cálculos para determinar la relación de transmisión en sistemas de poleas y engranajes.</w:t>
            </w:r>
          </w:p>
          <w:p w:rsidR="00000000" w:rsidDel="00000000" w:rsidP="00000000" w:rsidRDefault="00000000" w:rsidRPr="00000000" w14:paraId="00000033">
            <w:pPr>
              <w:keepLines w:val="1"/>
              <w:widowControl w:val="0"/>
              <w:spacing w:after="240" w:before="240" w:line="240" w:lineRule="auto"/>
              <w:jc w:val="both"/>
              <w:rPr/>
            </w:pPr>
            <w:r w:rsidDel="00000000" w:rsidR="00000000" w:rsidRPr="00000000">
              <w:rPr>
                <w:b w:val="1"/>
                <w:rtl w:val="0"/>
              </w:rPr>
              <w:t xml:space="preserve">9.</w:t>
            </w:r>
            <w:r w:rsidDel="00000000" w:rsidR="00000000" w:rsidRPr="00000000">
              <w:rPr>
                <w:rtl w:val="0"/>
              </w:rPr>
              <w:t xml:space="preserve"> Valorar los efectos de la energía eléctrica y su capacidad de conversión en otras manifestaciones energéticas. Utilizar correctamente instrumentos de medida de magnitudes eléctricas básicas. Diseñar y simular circuitos con simbología adecuada y montar circuitos formados por operadores elementales. La finalidad de este criterio es la de comprobar la importancia de la energía eléctrica en el ámbito doméstico e industrial, así como valorar el grado de conocimiento y habilidad para diseñar y construir circuitos eléctricos. El alumno debe adquirir destrezas en el uso</w:t>
            </w:r>
          </w:p>
          <w:p w:rsidR="00000000" w:rsidDel="00000000" w:rsidP="00000000" w:rsidRDefault="00000000" w:rsidRPr="00000000" w14:paraId="00000034">
            <w:pPr>
              <w:keepLines w:val="1"/>
              <w:widowControl w:val="0"/>
              <w:spacing w:after="240" w:before="240" w:line="240" w:lineRule="auto"/>
              <w:jc w:val="both"/>
              <w:rPr/>
            </w:pPr>
            <w:r w:rsidDel="00000000" w:rsidR="00000000" w:rsidRPr="00000000">
              <w:rPr>
                <w:rtl w:val="0"/>
              </w:rPr>
              <w:t xml:space="preserve">y manejo del polímetro. Esto implica determinar: tensión, corriente, resistencia, potencia y energía eléctrica, empleando los conceptos y principios de medida y cálculo de magnitudes.</w:t>
            </w:r>
          </w:p>
          <w:p w:rsidR="00000000" w:rsidDel="00000000" w:rsidP="00000000" w:rsidRDefault="00000000" w:rsidRPr="00000000" w14:paraId="00000035">
            <w:pPr>
              <w:keepLines w:val="1"/>
              <w:widowControl w:val="0"/>
              <w:spacing w:after="240" w:before="240" w:line="240" w:lineRule="auto"/>
              <w:jc w:val="both"/>
              <w:rPr/>
            </w:pPr>
            <w:r w:rsidDel="00000000" w:rsidR="00000000" w:rsidRPr="00000000">
              <w:rPr>
                <w:b w:val="1"/>
                <w:rtl w:val="0"/>
              </w:rPr>
              <w:t xml:space="preserve">10.</w:t>
            </w:r>
            <w:r w:rsidDel="00000000" w:rsidR="00000000" w:rsidRPr="00000000">
              <w:rPr>
                <w:rtl w:val="0"/>
              </w:rPr>
              <w:t xml:space="preserve"> Acceder a Internet para la utilización de servicios básicos: navegación para la localización de información, correo electrónico, comunicación intergrupal y publicación de información.</w:t>
            </w:r>
          </w:p>
          <w:p w:rsidR="00000000" w:rsidDel="00000000" w:rsidP="00000000" w:rsidRDefault="00000000" w:rsidRPr="00000000" w14:paraId="00000036">
            <w:pPr>
              <w:keepLines w:val="1"/>
              <w:widowControl w:val="0"/>
              <w:spacing w:after="240" w:before="240" w:line="240" w:lineRule="auto"/>
              <w:jc w:val="both"/>
              <w:rPr/>
            </w:pPr>
            <w:r w:rsidDel="00000000" w:rsidR="00000000" w:rsidRPr="00000000">
              <w:rPr>
                <w:rtl w:val="0"/>
              </w:rPr>
              <w:t xml:space="preserve">Se persigue valorar el conocimiento de los conceptos y terminología referidos a la navegación por Internet y la utilización eficiente de los buscadores para afianzar técnicas que les permitan la identificación de objetivos de búsqueda, la localización de información relevante, su almacenamiento, la creación de colecciones de referencias de interés y la utilización de gestores de correo electrónico y herramientas diseñadas para la comunicación grupal.</w:t>
            </w:r>
          </w:p>
        </w:tc>
      </w:tr>
    </w:tbl>
    <w:p w:rsidR="00000000" w:rsidDel="00000000" w:rsidP="00000000" w:rsidRDefault="00000000" w:rsidRPr="00000000" w14:paraId="00000037">
      <w:pPr>
        <w:pageBreakBefore w:val="0"/>
        <w:widowControl w:val="0"/>
        <w:rPr>
          <w:sz w:val="20"/>
          <w:szCs w:val="20"/>
        </w:rPr>
      </w:pPr>
      <w:r w:rsidDel="00000000" w:rsidR="00000000" w:rsidRPr="00000000">
        <w:rPr>
          <w:rtl w:val="0"/>
        </w:rPr>
      </w:r>
    </w:p>
    <w:tbl>
      <w:tblPr>
        <w:tblStyle w:val="Table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38">
            <w:pPr>
              <w:pStyle w:val="Heading2"/>
              <w:widowControl w:val="0"/>
              <w:spacing w:line="240" w:lineRule="auto"/>
              <w:rPr/>
            </w:pPr>
            <w:bookmarkStart w:colFirst="0" w:colLast="0" w:name="_heading=h.3znysh7" w:id="3"/>
            <w:bookmarkEnd w:id="3"/>
            <w:r w:rsidDel="00000000" w:rsidR="00000000" w:rsidRPr="00000000">
              <w:rPr>
                <w:rtl w:val="0"/>
              </w:rPr>
              <w:t xml:space="preserve">2.2. INSTRUMENTOS DE EVALUACIÓN.</w:t>
            </w:r>
          </w:p>
        </w:tc>
      </w:tr>
    </w:tbl>
    <w:p w:rsidR="00000000" w:rsidDel="00000000" w:rsidP="00000000" w:rsidRDefault="00000000" w:rsidRPr="00000000" w14:paraId="00000039">
      <w:pPr>
        <w:pageBreakBefore w:val="0"/>
        <w:widowControl w:val="0"/>
        <w:rPr>
          <w:sz w:val="2"/>
          <w:szCs w:val="2"/>
        </w:rPr>
      </w:pPr>
      <w:r w:rsidDel="00000000" w:rsidR="00000000" w:rsidRPr="00000000">
        <w:rPr>
          <w:rtl w:val="0"/>
        </w:rPr>
      </w:r>
    </w:p>
    <w:tbl>
      <w:tblPr>
        <w:tblStyle w:val="Table9"/>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A">
            <w:pPr>
              <w:widowControl w:val="0"/>
              <w:spacing w:line="243.90263557434082" w:lineRule="auto"/>
              <w:ind w:right="380.255126953125"/>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3B">
            <w:pPr>
              <w:numPr>
                <w:ilvl w:val="0"/>
                <w:numId w:val="2"/>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 y adecuación.</w:t>
            </w:r>
          </w:p>
          <w:p w:rsidR="00000000" w:rsidDel="00000000" w:rsidP="00000000" w:rsidRDefault="00000000" w:rsidRPr="00000000" w14:paraId="0000003C">
            <w:pPr>
              <w:numPr>
                <w:ilvl w:val="0"/>
                <w:numId w:val="2"/>
              </w:numPr>
              <w:spacing w:after="20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3D">
            <w:pPr>
              <w:numPr>
                <w:ilvl w:val="0"/>
                <w:numId w:val="2"/>
              </w:numPr>
              <w:spacing w:after="20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w:t>
            </w:r>
          </w:p>
          <w:p w:rsidR="00000000" w:rsidDel="00000000" w:rsidP="00000000" w:rsidRDefault="00000000" w:rsidRPr="00000000" w14:paraId="0000003E">
            <w:pPr>
              <w:numPr>
                <w:ilvl w:val="0"/>
                <w:numId w:val="2"/>
              </w:numPr>
              <w:spacing w:after="200" w:line="240" w:lineRule="auto"/>
              <w:ind w:left="720" w:hanging="360"/>
              <w:rPr/>
            </w:pP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3F">
            <w:pPr>
              <w:numPr>
                <w:ilvl w:val="0"/>
                <w:numId w:val="2"/>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p w:rsidR="00000000" w:rsidDel="00000000" w:rsidP="00000000" w:rsidRDefault="00000000" w:rsidRPr="00000000" w14:paraId="00000040">
            <w:pPr>
              <w:widowControl w:val="0"/>
              <w:spacing w:line="240" w:lineRule="auto"/>
              <w:rPr/>
            </w:pPr>
            <w:r w:rsidDel="00000000" w:rsidR="00000000" w:rsidRPr="00000000">
              <w:rPr>
                <w:rtl w:val="0"/>
              </w:rPr>
            </w:r>
          </w:p>
        </w:tc>
      </w:tr>
    </w:tbl>
    <w:p w:rsidR="00000000" w:rsidDel="00000000" w:rsidP="00000000" w:rsidRDefault="00000000" w:rsidRPr="00000000" w14:paraId="00000041">
      <w:pPr>
        <w:pageBreakBefore w:val="0"/>
        <w:widowControl w:val="0"/>
        <w:spacing w:line="240" w:lineRule="auto"/>
        <w:ind w:left="720" w:firstLine="0"/>
        <w:rPr/>
      </w:pPr>
      <w:r w:rsidDel="00000000" w:rsidR="00000000" w:rsidRPr="00000000">
        <w:rPr>
          <w:rtl w:val="0"/>
        </w:rPr>
      </w:r>
    </w:p>
    <w:p w:rsidR="00000000" w:rsidDel="00000000" w:rsidP="00000000" w:rsidRDefault="00000000" w:rsidRPr="00000000" w14:paraId="00000042">
      <w:pPr>
        <w:pageBreakBefore w:val="0"/>
        <w:rPr/>
      </w:pPr>
      <w:r w:rsidDel="00000000" w:rsidR="00000000" w:rsidRPr="00000000">
        <w:rPr>
          <w:rtl w:val="0"/>
        </w:rPr>
        <w:t xml:space="preserve">En caso de docencia no presencial se utilizarán los siguientes instrumentos de evaluación:</w:t>
      </w:r>
    </w:p>
    <w:tbl>
      <w:tblPr>
        <w:tblStyle w:val="Table10"/>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3">
            <w:pPr>
              <w:numPr>
                <w:ilvl w:val="0"/>
                <w:numId w:val="2"/>
              </w:numPr>
              <w:spacing w:after="200" w:line="240" w:lineRule="auto"/>
              <w:ind w:left="720" w:hanging="360"/>
              <w:rPr/>
            </w:pPr>
            <w:r w:rsidDel="00000000" w:rsidR="00000000" w:rsidRPr="00000000">
              <w:rPr>
                <w:b w:val="1"/>
                <w:rtl w:val="0"/>
              </w:rPr>
              <w:t xml:space="preserve">Pruebas escritas y orales:</w:t>
            </w:r>
            <w:r w:rsidDel="00000000" w:rsidR="00000000" w:rsidRPr="00000000">
              <w:rPr>
                <w:rtl w:val="0"/>
              </w:rPr>
              <w:t xml:space="preserve"> Al menos 1 por unidad. Se evaluará el planteamiento, la elección  adecuada de procedimientos, su ejecución…</w:t>
            </w:r>
          </w:p>
          <w:p w:rsidR="00000000" w:rsidDel="00000000" w:rsidP="00000000" w:rsidRDefault="00000000" w:rsidRPr="00000000" w14:paraId="00000044">
            <w:pPr>
              <w:numPr>
                <w:ilvl w:val="0"/>
                <w:numId w:val="2"/>
              </w:numPr>
              <w:spacing w:after="200" w:line="240" w:lineRule="auto"/>
              <w:ind w:left="720" w:hanging="360"/>
              <w:rPr/>
            </w:pPr>
            <w:r w:rsidDel="00000000" w:rsidR="00000000" w:rsidRPr="00000000">
              <w:rPr>
                <w:b w:val="1"/>
                <w:rtl w:val="0"/>
              </w:rPr>
              <w:t xml:space="preserve">Realización de tareas:</w:t>
            </w:r>
            <w:r w:rsidDel="00000000" w:rsidR="00000000" w:rsidRPr="00000000">
              <w:rPr>
                <w:rtl w:val="0"/>
              </w:rPr>
              <w:t xml:space="preserve"> Se evaluará la realización diaria de tareas, trabajos o cuestiones, así  como el trabajo diario en clase y la actitud del alumnado hacia la materia.</w:t>
            </w:r>
          </w:p>
          <w:p w:rsidR="00000000" w:rsidDel="00000000" w:rsidP="00000000" w:rsidRDefault="00000000" w:rsidRPr="00000000" w14:paraId="00000045">
            <w:pPr>
              <w:numPr>
                <w:ilvl w:val="0"/>
                <w:numId w:val="2"/>
              </w:numPr>
              <w:spacing w:after="200" w:line="240" w:lineRule="auto"/>
              <w:ind w:left="720" w:hanging="360"/>
              <w:rPr/>
            </w:pPr>
            <w:r w:rsidDel="00000000" w:rsidR="00000000" w:rsidRPr="00000000">
              <w:rPr>
                <w:b w:val="1"/>
                <w:rtl w:val="0"/>
              </w:rPr>
              <w:t xml:space="preserve">Observaciones de clase:</w:t>
            </w:r>
            <w:r w:rsidDel="00000000" w:rsidR="00000000" w:rsidRPr="00000000">
              <w:rPr>
                <w:rtl w:val="0"/>
              </w:rPr>
              <w:t xml:space="preserve">  Se evaluarán las intervenciones del alumnado (Preguntas,  respuestas) y la exposición en la pizarra o verbal de tareas, trabajos o cuestiones.</w:t>
            </w:r>
          </w:p>
          <w:p w:rsidR="00000000" w:rsidDel="00000000" w:rsidP="00000000" w:rsidRDefault="00000000" w:rsidRPr="00000000" w14:paraId="00000046">
            <w:pPr>
              <w:numPr>
                <w:ilvl w:val="0"/>
                <w:numId w:val="2"/>
              </w:numPr>
              <w:spacing w:after="200" w:line="240" w:lineRule="auto"/>
              <w:ind w:left="720" w:hanging="360"/>
              <w:rPr/>
            </w:pPr>
            <w:r w:rsidDel="00000000" w:rsidR="00000000" w:rsidRPr="00000000">
              <w:rPr>
                <w:rtl w:val="0"/>
              </w:rPr>
              <w:t xml:space="preserve">  </w:t>
            </w:r>
            <w:r w:rsidDel="00000000" w:rsidR="00000000" w:rsidRPr="00000000">
              <w:rPr>
                <w:b w:val="1"/>
                <w:rtl w:val="0"/>
              </w:rPr>
              <w:t xml:space="preserve">Cuaderno del alumno:</w:t>
            </w:r>
            <w:r w:rsidDel="00000000" w:rsidR="00000000" w:rsidRPr="00000000">
              <w:rPr>
                <w:rtl w:val="0"/>
              </w:rPr>
              <w:t xml:space="preserve"> Se tendrán en cuenta aspectos como tareas realizadas, resúmenes o  esquemas, y la corrección, el orden, la presentación o expresión de los ejercicios. </w:t>
            </w:r>
          </w:p>
          <w:p w:rsidR="00000000" w:rsidDel="00000000" w:rsidP="00000000" w:rsidRDefault="00000000" w:rsidRPr="00000000" w14:paraId="00000047">
            <w:pPr>
              <w:numPr>
                <w:ilvl w:val="0"/>
                <w:numId w:val="2"/>
              </w:numPr>
              <w:spacing w:after="200" w:line="240" w:lineRule="auto"/>
              <w:ind w:left="720" w:hanging="360"/>
              <w:rPr/>
            </w:pPr>
            <w:r w:rsidDel="00000000" w:rsidR="00000000" w:rsidRPr="00000000">
              <w:rPr>
                <w:b w:val="1"/>
                <w:rtl w:val="0"/>
              </w:rPr>
              <w:t xml:space="preserve">Trabajos/problemas específicos individuales o cooperativos:</w:t>
            </w:r>
            <w:r w:rsidDel="00000000" w:rsidR="00000000" w:rsidRPr="00000000">
              <w:rPr>
                <w:rtl w:val="0"/>
              </w:rPr>
              <w:t xml:space="preserve"> Se evaluará el diseño global del trabajo: claridad en la argumentación, orden, meticulosidad y presentación, y el contenido matemático: uso correcto de las matemáticas en cuanto a proceso, resultados y lenguaje…  </w:t>
            </w:r>
          </w:p>
        </w:tc>
      </w:tr>
    </w:tbl>
    <w:p w:rsidR="00000000" w:rsidDel="00000000" w:rsidP="00000000" w:rsidRDefault="00000000" w:rsidRPr="00000000" w14:paraId="00000048">
      <w:pPr>
        <w:pageBreakBefore w:val="0"/>
        <w:widowControl w:val="0"/>
        <w:rPr>
          <w:sz w:val="2"/>
          <w:szCs w:val="2"/>
        </w:rPr>
      </w:pPr>
      <w:r w:rsidDel="00000000" w:rsidR="00000000" w:rsidRPr="00000000">
        <w:rPr>
          <w:rtl w:val="0"/>
        </w:rPr>
      </w:r>
    </w:p>
    <w:tbl>
      <w:tblPr>
        <w:tblStyle w:val="Table11"/>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49">
            <w:pPr>
              <w:pStyle w:val="Heading2"/>
              <w:widowControl w:val="0"/>
              <w:spacing w:line="240" w:lineRule="auto"/>
              <w:rPr/>
            </w:pPr>
            <w:bookmarkStart w:colFirst="0" w:colLast="0" w:name="_heading=h.2et92p0" w:id="4"/>
            <w:bookmarkEnd w:id="4"/>
            <w:r w:rsidDel="00000000" w:rsidR="00000000" w:rsidRPr="00000000">
              <w:rPr>
                <w:rtl w:val="0"/>
              </w:rPr>
              <w:t xml:space="preserve">2.3. CRITERIOS DE CALIFICACIÓN.</w:t>
            </w:r>
          </w:p>
        </w:tc>
      </w:tr>
    </w:tbl>
    <w:p w:rsidR="00000000" w:rsidDel="00000000" w:rsidP="00000000" w:rsidRDefault="00000000" w:rsidRPr="00000000" w14:paraId="0000004A">
      <w:pPr>
        <w:pageBreakBefore w:val="0"/>
        <w:widowControl w:val="0"/>
        <w:rPr>
          <w:sz w:val="2"/>
          <w:szCs w:val="2"/>
        </w:rPr>
      </w:pPr>
      <w:r w:rsidDel="00000000" w:rsidR="00000000" w:rsidRPr="00000000">
        <w:rPr>
          <w:rtl w:val="0"/>
        </w:rPr>
      </w:r>
    </w:p>
    <w:tbl>
      <w:tblPr>
        <w:tblStyle w:val="Table12"/>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B">
            <w:pPr>
              <w:numPr>
                <w:ilvl w:val="0"/>
                <w:numId w:val="4"/>
              </w:numPr>
              <w:spacing w:after="240" w:before="240" w:lineRule="auto"/>
              <w:ind w:left="720" w:hanging="360"/>
              <w:jc w:val="both"/>
              <w:rPr/>
            </w:pPr>
            <w:r w:rsidDel="00000000" w:rsidR="00000000" w:rsidRPr="00000000">
              <w:rPr>
                <w:rtl w:val="0"/>
              </w:rPr>
              <w:t xml:space="preserve">La concreción de lo anterior será el fruto de la media ponderada de todos los resultados de la observación continua del proceso llevado a cabo por el alumno, en el que se valorarán las competencias procedimentales en un 40%; los contenidos en un 20% a las competencias conceptuales, y otro 40% a las competencias actitudinales. Esto es aplicable de forma aproximada, teniendo, además en cuenta que en cada de uno de estos tres apartados habrá que conseguir un grado mínimo, no inferior al 20% del grado de consecución.</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both"/>
              <w:rPr/>
            </w:pPr>
            <w:r w:rsidDel="00000000" w:rsidR="00000000" w:rsidRPr="00000000">
              <w:rPr>
                <w:rtl w:val="0"/>
              </w:rPr>
            </w:r>
          </w:p>
        </w:tc>
      </w:tr>
    </w:tbl>
    <w:p w:rsidR="00000000" w:rsidDel="00000000" w:rsidP="00000000" w:rsidRDefault="00000000" w:rsidRPr="00000000" w14:paraId="0000004D">
      <w:pPr>
        <w:pageBreakBefore w:val="0"/>
        <w:widowControl w:val="0"/>
        <w:rPr/>
      </w:pPr>
      <w:r w:rsidDel="00000000" w:rsidR="00000000" w:rsidRPr="00000000">
        <w:rPr>
          <w:rtl w:val="0"/>
        </w:rPr>
      </w:r>
    </w:p>
    <w:tbl>
      <w:tblPr>
        <w:tblStyle w:val="Table13"/>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4E">
            <w:pPr>
              <w:pStyle w:val="Heading2"/>
              <w:widowControl w:val="0"/>
              <w:spacing w:line="240" w:lineRule="auto"/>
              <w:ind w:right="69.6337890625"/>
              <w:rPr/>
            </w:pPr>
            <w:bookmarkStart w:colFirst="0" w:colLast="0" w:name="_heading=h.tyjcwt" w:id="5"/>
            <w:bookmarkEnd w:id="5"/>
            <w:r w:rsidDel="00000000" w:rsidR="00000000" w:rsidRPr="00000000">
              <w:rPr>
                <w:rtl w:val="0"/>
              </w:rPr>
              <w:t xml:space="preserve">2.4. PROGRAMA REFUERZO/AMPLIACIÓN PARA LA MEJORA DE LA EVALUACIÓN ORDINARIA.</w:t>
            </w:r>
          </w:p>
        </w:tc>
      </w:tr>
    </w:tbl>
    <w:p w:rsidR="00000000" w:rsidDel="00000000" w:rsidP="00000000" w:rsidRDefault="00000000" w:rsidRPr="00000000" w14:paraId="0000004F">
      <w:pPr>
        <w:pageBreakBefore w:val="0"/>
        <w:widowControl w:val="0"/>
        <w:rPr>
          <w:b w:val="1"/>
          <w:sz w:val="2"/>
          <w:szCs w:val="2"/>
        </w:rPr>
      </w:pPr>
      <w:r w:rsidDel="00000000" w:rsidR="00000000" w:rsidRPr="00000000">
        <w:rPr>
          <w:rtl w:val="0"/>
        </w:rPr>
      </w:r>
    </w:p>
    <w:tbl>
      <w:tblPr>
        <w:tblStyle w:val="Table14"/>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0">
            <w:pPr>
              <w:numPr>
                <w:ilvl w:val="0"/>
                <w:numId w:val="5"/>
              </w:numPr>
              <w:spacing w:after="240" w:before="240" w:line="240" w:lineRule="auto"/>
              <w:ind w:left="720" w:hanging="360"/>
              <w:jc w:val="both"/>
              <w:rPr/>
            </w:pPr>
            <w:r w:rsidDel="00000000" w:rsidR="00000000" w:rsidRPr="00000000">
              <w:rPr>
                <w:rtl w:val="0"/>
              </w:rPr>
              <w:t xml:space="preserve">Para el alumnado que promocione con un área del Departamento de Tecnología pendiente, se propondrá un programa de refuerzo, que consistirá en trabajos, realización de prototipos, y/o prueba objetiva de conocimientos, que irán destinados a la superación de los aprendizajes no adquiridos y a la calificación de la materia no superada. En el caso de que los contenidos del curso actual en el que se encuentra matriculado, traten los contenidos mínimos del curso anterior, se podrán superar los del anterior con la superación del actual.</w:t>
            </w:r>
          </w:p>
          <w:p w:rsidR="00000000" w:rsidDel="00000000" w:rsidP="00000000" w:rsidRDefault="00000000" w:rsidRPr="00000000" w14:paraId="00000051">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52">
            <w:pPr>
              <w:numPr>
                <w:ilvl w:val="0"/>
                <w:numId w:val="5"/>
              </w:numPr>
              <w:spacing w:after="240" w:before="240" w:line="240" w:lineRule="auto"/>
              <w:ind w:left="720" w:hanging="360"/>
              <w:jc w:val="both"/>
              <w:rPr/>
            </w:pPr>
            <w:r w:rsidDel="00000000" w:rsidR="00000000" w:rsidRPr="00000000">
              <w:rPr>
                <w:rtl w:val="0"/>
              </w:rPr>
              <w:t xml:space="preserve">Se contempla la diferente casuística:</w:t>
            </w:r>
          </w:p>
          <w:p w:rsidR="00000000" w:rsidDel="00000000" w:rsidP="00000000" w:rsidRDefault="00000000" w:rsidRPr="00000000" w14:paraId="00000053">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repetidor, se reforzarán los conocimientos y competencias adquiridos, de manera personalizada, como base motivadora para adquirir los no adquiridos.</w:t>
            </w:r>
          </w:p>
          <w:p w:rsidR="00000000" w:rsidDel="00000000" w:rsidP="00000000" w:rsidRDefault="00000000" w:rsidRPr="00000000" w14:paraId="00000054">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matriculado en Tecnologías de 3º; si la supera, entonces supera Tecnologías de 2º pendiente.</w:t>
            </w:r>
          </w:p>
          <w:p w:rsidR="00000000" w:rsidDel="00000000" w:rsidP="00000000" w:rsidRDefault="00000000" w:rsidRPr="00000000" w14:paraId="00000055">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matriculado en Tecnología de 4º o Ámbito Práctico de 4º, si la/lo supera, entonces supera Tecnologías de 3º pendiente, y de 2º, si se diese el caso.</w:t>
            </w:r>
          </w:p>
          <w:p w:rsidR="00000000" w:rsidDel="00000000" w:rsidP="00000000" w:rsidRDefault="00000000" w:rsidRPr="00000000" w14:paraId="00000056">
            <w:pPr>
              <w:numPr>
                <w:ilvl w:val="0"/>
                <w:numId w:val="5"/>
              </w:numPr>
              <w:spacing w:after="240" w:before="240" w:line="240" w:lineRule="auto"/>
              <w:ind w:left="720" w:hanging="360"/>
              <w:jc w:val="both"/>
              <w:rPr/>
            </w:pPr>
            <w:r w:rsidDel="00000000" w:rsidR="00000000" w:rsidRPr="00000000">
              <w:rPr>
                <w:rtl w:val="0"/>
              </w:rPr>
              <w:t xml:space="preserve">        </w:t>
              <w:tab/>
              <w:t xml:space="preserve">- Para el alumnado de 4º, no matriculado en Tecnología ni en Ámbito Práctico de 4º:</w:t>
            </w:r>
          </w:p>
          <w:p w:rsidR="00000000" w:rsidDel="00000000" w:rsidP="00000000" w:rsidRDefault="00000000" w:rsidRPr="00000000" w14:paraId="00000057">
            <w:pPr>
              <w:numPr>
                <w:ilvl w:val="0"/>
                <w:numId w:val="5"/>
              </w:numPr>
              <w:spacing w:after="240" w:before="240" w:line="240" w:lineRule="auto"/>
              <w:ind w:left="720" w:hanging="360"/>
              <w:jc w:val="both"/>
              <w:rPr/>
            </w:pPr>
            <w:r w:rsidDel="00000000" w:rsidR="00000000" w:rsidRPr="00000000">
              <w:rPr>
                <w:rtl w:val="0"/>
              </w:rPr>
              <w:t xml:space="preserve">        </w:t>
              <w:tab/>
              <w:t xml:space="preserve">a) Debe presentar el cuaderno de clase de la pendiente, pero correcto y completo. Además deberá añadir a su elección, y siempre que no estén repetidas, 10 actividades del libro de texto que se usó, por cada unidad impartida, con su correcta resolución; para lo que contará con el asesoramiento personalizado del profesor que le impartió el área pendiente. Entre estas actividades se contempla la posibilidad de que puedan ser de construcción de operadores tecnológicos o prototipos completos.</w:t>
            </w:r>
          </w:p>
          <w:p w:rsidR="00000000" w:rsidDel="00000000" w:rsidP="00000000" w:rsidRDefault="00000000" w:rsidRPr="00000000" w14:paraId="00000058">
            <w:pPr>
              <w:numPr>
                <w:ilvl w:val="0"/>
                <w:numId w:val="5"/>
              </w:numPr>
              <w:spacing w:after="240" w:before="240" w:line="240" w:lineRule="auto"/>
              <w:ind w:left="720" w:hanging="360"/>
              <w:jc w:val="both"/>
              <w:rPr/>
            </w:pPr>
            <w:r w:rsidDel="00000000" w:rsidR="00000000" w:rsidRPr="00000000">
              <w:rPr>
                <w:rtl w:val="0"/>
              </w:rPr>
              <w:t xml:space="preserve">        </w:t>
              <w:tab/>
              <w:t xml:space="preserve">b) Opcionalmente, se podrá sustituir la resolución de esas 10 actividades por unidad didáctica, por un cuadernillo con actividades propuestas (entre las que se contempla la posibilidad de que puedan ser de construcción de operadores tecnológicos o de prototipos completos) que abarquen los contenidos más relevantes del área pendiente; que elaborará el profesor que le impartió el área pendiente. Éste será el encargado del seguimiento del trabajo desarrollado por el alumno/a, evaluará y calificará.</w:t>
            </w:r>
          </w:p>
          <w:p w:rsidR="00000000" w:rsidDel="00000000" w:rsidP="00000000" w:rsidRDefault="00000000" w:rsidRPr="00000000" w14:paraId="00000059">
            <w:pPr>
              <w:numPr>
                <w:ilvl w:val="0"/>
                <w:numId w:val="5"/>
              </w:numPr>
              <w:spacing w:after="240" w:before="240" w:line="240" w:lineRule="auto"/>
              <w:ind w:left="720" w:hanging="360"/>
              <w:jc w:val="both"/>
              <w:rPr/>
            </w:pPr>
            <w:r w:rsidDel="00000000" w:rsidR="00000000" w:rsidRPr="00000000">
              <w:rPr>
                <w:rtl w:val="0"/>
              </w:rPr>
              <w:t xml:space="preserve">        </w:t>
              <w:tab/>
              <w:t xml:space="preserve">c) En caso de no superar el proceso anterior (en la modalidad “a“ o “b”) se presentará a la prueba final de junio, y si no la superase, a la extraordinaria de septiembre. En este caso el profesor que le impartió la materia pendiente será el encargado de proponer y calificar la/s prueba/s.`</w:t>
            </w:r>
          </w:p>
          <w:p w:rsidR="00000000" w:rsidDel="00000000" w:rsidP="00000000" w:rsidRDefault="00000000" w:rsidRPr="00000000" w14:paraId="0000005A">
            <w:pPr>
              <w:spacing w:after="240" w:before="240" w:line="240" w:lineRule="auto"/>
              <w:ind w:left="720" w:firstLine="0"/>
              <w:jc w:val="both"/>
              <w:rPr/>
            </w:pPr>
            <w:r w:rsidDel="00000000" w:rsidR="00000000" w:rsidRPr="00000000">
              <w:rPr>
                <w:rtl w:val="0"/>
              </w:rPr>
            </w:r>
          </w:p>
          <w:p w:rsidR="00000000" w:rsidDel="00000000" w:rsidP="00000000" w:rsidRDefault="00000000" w:rsidRPr="00000000" w14:paraId="0000005B">
            <w:pPr>
              <w:numPr>
                <w:ilvl w:val="0"/>
                <w:numId w:val="5"/>
              </w:numPr>
              <w:spacing w:after="240" w:before="240" w:line="240" w:lineRule="auto"/>
              <w:ind w:left="720" w:hanging="360"/>
              <w:jc w:val="both"/>
              <w:rPr/>
            </w:pPr>
            <w:r w:rsidDel="00000000" w:rsidR="00000000" w:rsidRPr="00000000">
              <w:rPr>
                <w:rtl w:val="0"/>
              </w:rPr>
              <w:t xml:space="preserve">        </w:t>
              <w:tab/>
              <w:t xml:space="preserve">En todos los casos, serán de aplicación los criterios de evaluación ya especificados, por unidades y cursos, departamento y comunes de centro.</w:t>
            </w:r>
          </w:p>
          <w:p w:rsidR="00000000" w:rsidDel="00000000" w:rsidP="00000000" w:rsidRDefault="00000000" w:rsidRPr="00000000" w14:paraId="0000005C">
            <w:pPr>
              <w:spacing w:after="200" w:line="240" w:lineRule="auto"/>
              <w:ind w:left="720" w:firstLine="0"/>
              <w:jc w:val="both"/>
              <w:rPr>
                <w:b w:val="1"/>
              </w:rPr>
            </w:pPr>
            <w:r w:rsidDel="00000000" w:rsidR="00000000" w:rsidRPr="00000000">
              <w:rPr>
                <w:rtl w:val="0"/>
              </w:rPr>
            </w:r>
          </w:p>
        </w:tc>
      </w:tr>
    </w:tbl>
    <w:p w:rsidR="00000000" w:rsidDel="00000000" w:rsidP="00000000" w:rsidRDefault="00000000" w:rsidRPr="00000000" w14:paraId="0000005D">
      <w:pPr>
        <w:pageBreakBefore w:val="0"/>
        <w:widowControl w:val="0"/>
        <w:rPr>
          <w:b w:val="1"/>
        </w:rPr>
      </w:pPr>
      <w:r w:rsidDel="00000000" w:rsidR="00000000" w:rsidRPr="00000000">
        <w:rPr>
          <w:rtl w:val="0"/>
        </w:rPr>
      </w:r>
    </w:p>
    <w:tbl>
      <w:tblPr>
        <w:tblStyle w:val="Table15"/>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5E">
            <w:pPr>
              <w:pStyle w:val="Heading2"/>
              <w:widowControl w:val="0"/>
              <w:spacing w:line="240" w:lineRule="auto"/>
              <w:rPr>
                <w:b w:val="1"/>
              </w:rPr>
            </w:pPr>
            <w:bookmarkStart w:colFirst="0" w:colLast="0" w:name="_heading=h.3dy6vkm" w:id="6"/>
            <w:bookmarkEnd w:id="6"/>
            <w:r w:rsidDel="00000000" w:rsidR="00000000" w:rsidRPr="00000000">
              <w:rPr>
                <w:rtl w:val="0"/>
              </w:rPr>
              <w:t xml:space="preserve">2.5. PRUEBA EXTRAORDINARIA.</w:t>
            </w:r>
            <w:r w:rsidDel="00000000" w:rsidR="00000000" w:rsidRPr="00000000">
              <w:rPr>
                <w:rtl w:val="0"/>
              </w:rPr>
            </w:r>
          </w:p>
        </w:tc>
      </w:tr>
    </w:tbl>
    <w:p w:rsidR="00000000" w:rsidDel="00000000" w:rsidP="00000000" w:rsidRDefault="00000000" w:rsidRPr="00000000" w14:paraId="0000005F">
      <w:pPr>
        <w:pageBreakBefore w:val="0"/>
        <w:widowControl w:val="0"/>
        <w:rPr>
          <w:b w:val="1"/>
          <w:sz w:val="4"/>
          <w:szCs w:val="4"/>
        </w:rPr>
      </w:pPr>
      <w:r w:rsidDel="00000000" w:rsidR="00000000" w:rsidRPr="00000000">
        <w:rPr>
          <w:rtl w:val="0"/>
        </w:rPr>
      </w:r>
    </w:p>
    <w:tbl>
      <w:tblPr>
        <w:tblStyle w:val="Table16"/>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0">
            <w:pPr>
              <w:numPr>
                <w:ilvl w:val="0"/>
                <w:numId w:val="5"/>
              </w:numPr>
              <w:spacing w:after="200" w:before="200" w:line="240" w:lineRule="auto"/>
              <w:ind w:left="720" w:hanging="360"/>
              <w:jc w:val="both"/>
              <w:rPr>
                <w:rFonts w:ascii="Calibri" w:cs="Calibri" w:eastAsia="Calibri" w:hAnsi="Calibri"/>
              </w:rPr>
            </w:pPr>
            <w:r w:rsidDel="00000000" w:rsidR="00000000" w:rsidRPr="00000000">
              <w:rPr>
                <w:rFonts w:ascii="Calibri" w:cs="Calibri" w:eastAsia="Calibri" w:hAnsi="Calibri"/>
                <w:rtl w:val="0"/>
              </w:rPr>
              <w:t xml:space="preserve">Si el alumno suspende alguno o todos los trimestres, se realizará una prueba escrita, a modo de recuperación, para dar la oportunidad a los alumnos de superar la materia antes del verano. La evaluación extraordinaria se realizará antes del 22 de junio. Se realizará una prueba escrita de los criterios de evaluación no superados.</w:t>
            </w:r>
          </w:p>
        </w:tc>
      </w:tr>
    </w:tbl>
    <w:p w:rsidR="00000000" w:rsidDel="00000000" w:rsidP="00000000" w:rsidRDefault="00000000" w:rsidRPr="00000000" w14:paraId="00000061">
      <w:pPr>
        <w:pageBreakBefore w:val="0"/>
        <w:widowControl w:val="0"/>
        <w:rPr>
          <w:b w:val="1"/>
        </w:rPr>
      </w:pPr>
      <w:r w:rsidDel="00000000" w:rsidR="00000000" w:rsidRPr="00000000">
        <w:rPr>
          <w:rtl w:val="0"/>
        </w:rPr>
      </w:r>
    </w:p>
    <w:tbl>
      <w:tblPr>
        <w:tblStyle w:val="Table17"/>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cc730" w:val="clear"/>
            <w:tcMar>
              <w:top w:w="100.0" w:type="dxa"/>
              <w:left w:w="100.0" w:type="dxa"/>
              <w:bottom w:w="100.0" w:type="dxa"/>
              <w:right w:w="100.0" w:type="dxa"/>
            </w:tcMar>
            <w:vAlign w:val="top"/>
          </w:tcPr>
          <w:p w:rsidR="00000000" w:rsidDel="00000000" w:rsidP="00000000" w:rsidRDefault="00000000" w:rsidRPr="00000000" w14:paraId="00000062">
            <w:pPr>
              <w:pStyle w:val="Heading2"/>
              <w:widowControl w:val="0"/>
              <w:spacing w:line="240" w:lineRule="auto"/>
              <w:rPr/>
            </w:pPr>
            <w:bookmarkStart w:colFirst="0" w:colLast="0" w:name="_heading=h.1t3h5sf" w:id="7"/>
            <w:bookmarkEnd w:id="7"/>
            <w:r w:rsidDel="00000000" w:rsidR="00000000" w:rsidRPr="00000000">
              <w:rPr>
                <w:rtl w:val="0"/>
              </w:rPr>
              <w:t xml:space="preserve">2.6. INFORMACIÓN A LAS FAMILIAS.</w:t>
            </w:r>
          </w:p>
        </w:tc>
      </w:tr>
    </w:tbl>
    <w:p w:rsidR="00000000" w:rsidDel="00000000" w:rsidP="00000000" w:rsidRDefault="00000000" w:rsidRPr="00000000" w14:paraId="00000063">
      <w:pPr>
        <w:pageBreakBefore w:val="0"/>
        <w:widowControl w:val="0"/>
        <w:rPr>
          <w:b w:val="1"/>
          <w:sz w:val="2"/>
          <w:szCs w:val="2"/>
        </w:rPr>
      </w:pPr>
      <w:r w:rsidDel="00000000" w:rsidR="00000000" w:rsidRPr="00000000">
        <w:rPr>
          <w:rtl w:val="0"/>
        </w:rPr>
      </w:r>
    </w:p>
    <w:tbl>
      <w:tblPr>
        <w:tblStyle w:val="Table18"/>
        <w:tblW w:w="1020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9"/>
        <w:tblGridChange w:id="0">
          <w:tblGrid>
            <w:gridCol w:w="1020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200" w:line="240" w:lineRule="auto"/>
              <w:ind w:left="720" w:right="0" w:hanging="360"/>
              <w:jc w:val="both"/>
              <w:rPr/>
            </w:pPr>
            <w:r w:rsidDel="00000000" w:rsidR="00000000" w:rsidRPr="00000000">
              <w:rPr>
                <w:rtl w:val="0"/>
              </w:rPr>
              <w:t xml:space="preserve">Se  informará a las familias de la evolución académica del alumnado  mediante la plataforma  IPASEN, haciendo visibles las calificaciones de las actividades evaluables recogidas en el cuaderno Séneca, así como de cualquier aspecto relevante en el proceso de enseñanza‐aprendizaje.  </w:t>
            </w:r>
          </w:p>
          <w:p w:rsidR="00000000" w:rsidDel="00000000" w:rsidP="00000000" w:rsidRDefault="00000000" w:rsidRPr="00000000" w14:paraId="00000065">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En caso de no poder contactar con las familias mediante IPASEN, se contactará telefónicamente  o por correo postal.  </w:t>
            </w:r>
          </w:p>
          <w:p w:rsidR="00000000" w:rsidDel="00000000" w:rsidP="00000000" w:rsidRDefault="00000000" w:rsidRPr="00000000" w14:paraId="00000066">
            <w:pPr>
              <w:keepNext w:val="0"/>
              <w:keepLines w:val="0"/>
              <w:widowControl w:val="1"/>
              <w:numPr>
                <w:ilvl w:val="0"/>
                <w:numId w:val="5"/>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pPr>
            <w:r w:rsidDel="00000000" w:rsidR="00000000" w:rsidRPr="00000000">
              <w:rPr>
                <w:rtl w:val="0"/>
              </w:rPr>
              <w:t xml:space="preserve">Las familias podrán solicitar mediante cita previa información sobre la evolución académica de  sus  hijos/as a través de IPASEN o de la tutoría. Dicha  reunión se  llevará  a  cabo  en  el  horario  establecido por el centro de cada profesor/a aunque preferentemente se realizarán  telemáticamente con invitación a classroom.  </w:t>
            </w:r>
          </w:p>
        </w:tc>
      </w:tr>
    </w:tbl>
    <w:p w:rsidR="00000000" w:rsidDel="00000000" w:rsidP="00000000" w:rsidRDefault="00000000" w:rsidRPr="00000000" w14:paraId="00000067">
      <w:pPr>
        <w:pageBreakBefore w:val="0"/>
        <w:widowControl w:val="0"/>
        <w:rPr>
          <w:b w:val="1"/>
        </w:rPr>
      </w:pPr>
      <w:r w:rsidDel="00000000" w:rsidR="00000000" w:rsidRPr="00000000">
        <w:rPr>
          <w:rtl w:val="0"/>
        </w:rPr>
      </w:r>
    </w:p>
    <w:sectPr>
      <w:headerReference r:id="rId9" w:type="first"/>
      <w:footerReference r:id="rId10" w:type="default"/>
      <w:footerReference r:id="rId11" w:type="first"/>
      <w:pgSz w:h="16834" w:w="11909" w:orient="portrait"/>
      <w:pgMar w:bottom="850.3937007874016" w:top="850.3937007874016" w:left="850.3937007874016" w:right="850.3937007874016"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9">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A">
    <w:pPr>
      <w:jc w:val="center"/>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8">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b w:val="1"/>
        <w:color w:val="359823"/>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line="240" w:lineRule="auto"/>
      <w:ind w:left="720" w:hanging="360"/>
    </w:pPr>
    <w:rPr>
      <w:b w:val="1"/>
    </w:rPr>
  </w:style>
  <w:style w:type="paragraph" w:styleId="Heading2">
    <w:name w:val="heading 2"/>
    <w:basedOn w:val="Normal"/>
    <w:next w:val="Normal"/>
    <w:pPr>
      <w:keepNext w:val="1"/>
      <w:keepLines w:val="1"/>
      <w:pageBreakBefore w:val="0"/>
      <w:spacing w:line="240" w:lineRule="auto"/>
    </w:pPr>
    <w:rPr>
      <w:b w:val="1"/>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Twm+yg6TK8M3IBV4qbcBB1ztGXQ==">CgMxLjAyCGguZ2pkZ3hzMgloLjMwajB6bGwyCWguMWZvYjl0ZTIJaC4zem55c2g3MgloLjJldDkycDAyCGgudHlqY3d0MgloLjNkeTZ2a20yCWguMXQzaDVzZjgAciExZVpZZmFyVWNxRHctNlNWU3YzWENpTGFIOWdGWWVGRG0=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