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4"/>
        <w:gridCol w:w="7286"/>
      </w:tblGrid>
      <w:tr w:rsidR="005478C5">
        <w:tc>
          <w:tcPr>
            <w:tcW w:w="1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78C5" w:rsidRDefault="002A581C">
            <w:pPr>
              <w:pStyle w:val="Contenidodelatabla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IES PADRE LUIS COLOMA. JEREZ DE LA FRONTERA.                  DEPARTAMENTO ARTÍSTICO </w:t>
            </w:r>
          </w:p>
        </w:tc>
      </w:tr>
      <w:tr w:rsidR="005478C5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78C5" w:rsidRDefault="002A581C">
            <w:pPr>
              <w:pStyle w:val="Contenidodelatabla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ETAPA - CURSO</w:t>
            </w:r>
          </w:p>
        </w:tc>
        <w:tc>
          <w:tcPr>
            <w:tcW w:w="7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78C5" w:rsidRDefault="009A6F96">
            <w:pPr>
              <w:pStyle w:val="Contenidodelatabla"/>
              <w:jc w:val="both"/>
            </w:pPr>
            <w:r>
              <w:rPr>
                <w:rFonts w:ascii="Arial" w:eastAsia="Arial" w:hAnsi="Arial" w:cs="Arial"/>
                <w:sz w:val="24"/>
              </w:rPr>
              <w:t>ESO – SEGUNDO</w:t>
            </w:r>
          </w:p>
        </w:tc>
      </w:tr>
      <w:tr w:rsidR="005478C5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78C5" w:rsidRDefault="002A581C">
            <w:pPr>
              <w:pStyle w:val="Contenidodelatabla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PROFESORA</w:t>
            </w:r>
          </w:p>
        </w:tc>
        <w:tc>
          <w:tcPr>
            <w:tcW w:w="7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78C5" w:rsidRDefault="009A6F96">
            <w:pPr>
              <w:pStyle w:val="Contenidodelatabla"/>
              <w:jc w:val="both"/>
            </w:pPr>
            <w:r>
              <w:rPr>
                <w:rFonts w:ascii="Arial" w:eastAsia="Arial" w:hAnsi="Arial" w:cs="Arial"/>
                <w:sz w:val="24"/>
              </w:rPr>
              <w:t>INMACULADA JIMÉNEZ VIDAL</w:t>
            </w:r>
          </w:p>
        </w:tc>
      </w:tr>
      <w:tr w:rsidR="005478C5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78C5" w:rsidRDefault="002A581C">
            <w:pPr>
              <w:pStyle w:val="Contenidodelatabla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ASIGNATURA</w:t>
            </w:r>
          </w:p>
        </w:tc>
        <w:tc>
          <w:tcPr>
            <w:tcW w:w="7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78C5" w:rsidRDefault="002A581C">
            <w:pPr>
              <w:pStyle w:val="Contenidodelatabla"/>
              <w:jc w:val="both"/>
            </w:pPr>
            <w:r>
              <w:rPr>
                <w:rFonts w:ascii="Arial" w:eastAsia="Arial" w:hAnsi="Arial" w:cs="Arial"/>
                <w:sz w:val="24"/>
              </w:rPr>
              <w:t>MÚSICA</w:t>
            </w:r>
          </w:p>
        </w:tc>
      </w:tr>
      <w:tr w:rsidR="005478C5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78C5" w:rsidRDefault="002A581C">
            <w:pPr>
              <w:pStyle w:val="Contenidodelatabla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CURSO</w:t>
            </w:r>
          </w:p>
        </w:tc>
        <w:tc>
          <w:tcPr>
            <w:tcW w:w="7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78C5" w:rsidRDefault="009A6F96">
            <w:pPr>
              <w:pStyle w:val="Contenidodelatabla"/>
              <w:jc w:val="both"/>
            </w:pPr>
            <w:r>
              <w:rPr>
                <w:rFonts w:ascii="Arial" w:eastAsia="Arial" w:hAnsi="Arial" w:cs="Arial"/>
                <w:sz w:val="24"/>
              </w:rPr>
              <w:t>2017-2018</w:t>
            </w:r>
          </w:p>
        </w:tc>
      </w:tr>
      <w:tr w:rsidR="005478C5">
        <w:tc>
          <w:tcPr>
            <w:tcW w:w="145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78C5" w:rsidRDefault="002A581C">
            <w:pPr>
              <w:pStyle w:val="Contenidodelatabla"/>
              <w:jc w:val="both"/>
            </w:pPr>
            <w:r>
              <w:rPr>
                <w:rFonts w:ascii="Arial" w:eastAsia="Arial" w:hAnsi="Arial" w:cs="Arial"/>
                <w:sz w:val="24"/>
              </w:rPr>
              <w:t>INFORMACIÓN DE INICIO DE CURSO: RESUMEN DE LA PROGRAMACIÓN</w:t>
            </w:r>
          </w:p>
        </w:tc>
      </w:tr>
    </w:tbl>
    <w:p w:rsidR="005478C5" w:rsidRDefault="005478C5">
      <w:pPr>
        <w:spacing w:before="28" w:after="28" w:line="100" w:lineRule="atLeast"/>
        <w:jc w:val="both"/>
        <w:rPr>
          <w:rFonts w:ascii="Arial" w:eastAsia="Arial" w:hAnsi="Arial" w:cs="Arial"/>
          <w:b/>
          <w:color w:val="auto"/>
          <w:sz w:val="24"/>
        </w:rPr>
      </w:pPr>
    </w:p>
    <w:p w:rsidR="005478C5" w:rsidRDefault="002A581C">
      <w:pPr>
        <w:spacing w:before="28" w:after="28" w:line="100" w:lineRule="atLeast"/>
        <w:jc w:val="both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b/>
          <w:color w:val="auto"/>
          <w:sz w:val="24"/>
        </w:rPr>
        <w:t xml:space="preserve">NORMATIVA APLICADA: </w:t>
      </w:r>
    </w:p>
    <w:p w:rsidR="005478C5" w:rsidRDefault="002A581C">
      <w:pPr>
        <w:spacing w:before="28" w:after="28" w:line="100" w:lineRule="atLeast"/>
        <w:jc w:val="both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>REAL DECRETO 1105/2014, de 26 de diciembre, por el que se establece el currículo básico de la Educación Secundaria Obligatoria</w:t>
      </w:r>
    </w:p>
    <w:p w:rsidR="005478C5" w:rsidRDefault="002A581C">
      <w:pPr>
        <w:spacing w:before="28" w:after="28" w:line="100" w:lineRule="atLeast"/>
        <w:jc w:val="both"/>
        <w:rPr>
          <w:rFonts w:ascii="Arial" w:eastAsia="NewsGotT-Regu" w:hAnsi="Arial" w:cs="NewsGotT-Regu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>DECRETO 111/2016, de 14 de junio, por el que se establece la ordenación y el currículo de la Educación Secundaria Obligatoria en la Comunidad Autónoma de Andalucía</w:t>
      </w:r>
    </w:p>
    <w:p w:rsidR="005478C5" w:rsidRDefault="002A581C">
      <w:pPr>
        <w:spacing w:before="28" w:after="28" w:line="100" w:lineRule="atLeast"/>
        <w:jc w:val="both"/>
        <w:rPr>
          <w:rFonts w:ascii="Arial" w:eastAsia="NewsGotT-Regu" w:hAnsi="Arial" w:cs="NewsGotT-Regu"/>
          <w:b/>
          <w:bCs/>
          <w:szCs w:val="22"/>
        </w:rPr>
      </w:pPr>
      <w:r>
        <w:rPr>
          <w:rFonts w:ascii="Arial" w:eastAsia="NewsGotT-Regu" w:hAnsi="Arial" w:cs="NewsGotT-Regu"/>
          <w:color w:val="auto"/>
          <w:sz w:val="24"/>
        </w:rPr>
        <w:t xml:space="preserve">ORDEN de 14 de </w:t>
      </w:r>
      <w:proofErr w:type="gramStart"/>
      <w:r>
        <w:rPr>
          <w:rFonts w:ascii="Arial" w:eastAsia="NewsGotT-Regu" w:hAnsi="Arial" w:cs="NewsGotT-Regu"/>
          <w:color w:val="auto"/>
          <w:sz w:val="24"/>
        </w:rPr>
        <w:t>julio</w:t>
      </w:r>
      <w:proofErr w:type="gramEnd"/>
      <w:r>
        <w:rPr>
          <w:rFonts w:ascii="Arial" w:eastAsia="NewsGotT-Regu" w:hAnsi="Arial" w:cs="NewsGotT-Regu"/>
          <w:color w:val="auto"/>
          <w:sz w:val="24"/>
        </w:rPr>
        <w:t xml:space="preserve"> de 2016, por la que se desarrolla el currículo correspondiente a la Educación </w:t>
      </w:r>
      <w:r>
        <w:rPr>
          <w:rFonts w:ascii="Arial" w:eastAsia="NewsGotT-Regu" w:hAnsi="Arial" w:cs="NewsGotT-Regu"/>
          <w:sz w:val="24"/>
        </w:rPr>
        <w:t>Secundaria Obligatoria en la Comunidad Autónoma de Andalucía</w:t>
      </w:r>
    </w:p>
    <w:p w:rsidR="005478C5" w:rsidRDefault="005478C5">
      <w:pPr>
        <w:spacing w:before="28" w:after="28" w:line="100" w:lineRule="atLeast"/>
        <w:jc w:val="both"/>
        <w:rPr>
          <w:rFonts w:ascii="Arial" w:eastAsia="NewsGotT-Regu" w:hAnsi="Arial" w:cs="NewsGotT-Regu"/>
          <w:b/>
          <w:bCs/>
          <w:szCs w:val="22"/>
        </w:rPr>
      </w:pPr>
    </w:p>
    <w:p w:rsidR="005478C5" w:rsidRDefault="002A581C">
      <w:pPr>
        <w:spacing w:before="28" w:after="28" w:line="100" w:lineRule="atLeast"/>
        <w:jc w:val="both"/>
        <w:rPr>
          <w:rFonts w:ascii="Arial" w:eastAsia="NewsGotT-Regu" w:hAnsi="Arial" w:cs="NewsGotT-Regu"/>
          <w:b/>
          <w:bCs/>
          <w:sz w:val="24"/>
        </w:rPr>
      </w:pPr>
      <w:r>
        <w:rPr>
          <w:rFonts w:ascii="Arial" w:eastAsia="NewsGotT-Regu" w:hAnsi="Arial" w:cs="NewsGotT-Regu"/>
          <w:b/>
          <w:bCs/>
          <w:sz w:val="24"/>
        </w:rPr>
        <w:t>OBJETIVOS GENERALES DE LA EDUCACIÓN SECUNDARIA OBLIGATORIA PARA LA MATERIA</w:t>
      </w:r>
    </w:p>
    <w:p w:rsidR="005478C5" w:rsidRDefault="005478C5">
      <w:pPr>
        <w:spacing w:before="28" w:after="28" w:line="100" w:lineRule="atLeast"/>
        <w:jc w:val="both"/>
        <w:rPr>
          <w:rFonts w:ascii="Arial" w:eastAsia="NewsGotT-Regu" w:hAnsi="Arial" w:cs="NewsGotT-Regu"/>
          <w:b/>
          <w:bCs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>1. Utilizar la voz, el cuerpo, los instrumentos y los recursos tecnológicos para expresar ideas, emociones, etc. enriqueciendo sus propias posibilidades de comunicación y respetando formas distintas de expresión.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>2. Desarrollar y aplicar las habilidades y técnicas básicas de expresión vocal, instrumental y corporal que posibiliten la interpretación y la creación musical de forma individual o en grupo.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 xml:space="preserve">3. Escuchar una amplia variedad de obras de distintos estilos, géneros, tendencias y culturas musicales, apreciando su valor </w:t>
      </w:r>
      <w:proofErr w:type="gramStart"/>
      <w:r>
        <w:rPr>
          <w:rFonts w:ascii="Arial" w:eastAsia="NewsGotT-Regu" w:hAnsi="Arial" w:cs="NewsGotT-Regu"/>
          <w:sz w:val="24"/>
        </w:rPr>
        <w:t>como</w:t>
      </w:r>
      <w:proofErr w:type="gramEnd"/>
      <w:r>
        <w:rPr>
          <w:rFonts w:ascii="Arial" w:eastAsia="NewsGotT-Regu" w:hAnsi="Arial" w:cs="NewsGotT-Regu"/>
          <w:sz w:val="24"/>
        </w:rPr>
        <w:t xml:space="preserve"> fuente de conocimiento, enriquecimiento cultural y placer personal e interesándose por ampliar y diversificar las preferencias musicales propias.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 xml:space="preserve">4. Valorar las obras musicales </w:t>
      </w:r>
      <w:proofErr w:type="gramStart"/>
      <w:r>
        <w:rPr>
          <w:rFonts w:ascii="Arial" w:eastAsia="NewsGotT-Regu" w:hAnsi="Arial" w:cs="NewsGotT-Regu"/>
          <w:sz w:val="24"/>
        </w:rPr>
        <w:t>como</w:t>
      </w:r>
      <w:proofErr w:type="gramEnd"/>
      <w:r>
        <w:rPr>
          <w:rFonts w:ascii="Arial" w:eastAsia="NewsGotT-Regu" w:hAnsi="Arial" w:cs="NewsGotT-Regu"/>
          <w:sz w:val="24"/>
        </w:rPr>
        <w:t xml:space="preserve"> ejemplos de creación artística y parte del patrimonio cultural, reconociendo sus funciones y características y aplicando la terminología adecuada para describirlas. Hacer hincapié en el conocimiento de los principales compositores y compositoras andaluzas.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lastRenderedPageBreak/>
        <w:t xml:space="preserve">5. Utilizar de forma progresivamente autónoma diversas </w:t>
      </w:r>
      <w:proofErr w:type="gramStart"/>
      <w:r>
        <w:rPr>
          <w:rFonts w:ascii="Arial" w:eastAsia="NewsGotT-Regu" w:hAnsi="Arial" w:cs="NewsGotT-Regu"/>
          <w:sz w:val="24"/>
        </w:rPr>
        <w:t>fuentes</w:t>
      </w:r>
      <w:proofErr w:type="gramEnd"/>
      <w:r>
        <w:rPr>
          <w:rFonts w:ascii="Arial" w:eastAsia="NewsGotT-Regu" w:hAnsi="Arial" w:cs="NewsGotT-Regu"/>
          <w:sz w:val="24"/>
        </w:rPr>
        <w:t xml:space="preserve"> de información para el aprendizaje y disfrute de la música.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 xml:space="preserve">6. Valorar el papel de las tecnologías de la información y la comunicación en el acceso a la música, y utilizarlas de forma creativa cuando </w:t>
      </w:r>
      <w:proofErr w:type="gramStart"/>
      <w:r>
        <w:rPr>
          <w:rFonts w:ascii="Arial" w:eastAsia="NewsGotT-Regu" w:hAnsi="Arial" w:cs="NewsGotT-Regu"/>
          <w:sz w:val="24"/>
        </w:rPr>
        <w:t>sean</w:t>
      </w:r>
      <w:proofErr w:type="gramEnd"/>
      <w:r>
        <w:rPr>
          <w:rFonts w:ascii="Arial" w:eastAsia="NewsGotT-Regu" w:hAnsi="Arial" w:cs="NewsGotT-Regu"/>
          <w:sz w:val="24"/>
        </w:rPr>
        <w:t xml:space="preserve"> necesarias en las distintas actividades musicales.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>7. Participar, con respeto y disposición para superar estereotipos y prejuicios, en diferentes actividades musicales y contribuir en la medida de lo posible con actuaciones propias</w:t>
      </w:r>
      <w:proofErr w:type="gramStart"/>
      <w:r>
        <w:rPr>
          <w:rFonts w:ascii="Arial" w:eastAsia="NewsGotT-Regu" w:hAnsi="Arial" w:cs="NewsGotT-Regu"/>
          <w:sz w:val="24"/>
        </w:rPr>
        <w:t>,  tomando</w:t>
      </w:r>
      <w:proofErr w:type="gramEnd"/>
      <w:r>
        <w:rPr>
          <w:rFonts w:ascii="Arial" w:eastAsia="NewsGotT-Regu" w:hAnsi="Arial" w:cs="NewsGotT-Regu"/>
          <w:sz w:val="24"/>
        </w:rPr>
        <w:t xml:space="preserve"> conciencia, como miembro de un grupo, del enriquecimiento que se produce con las aportaciones de las demás personas.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 xml:space="preserve">8. Descubrir, conocer y valorar la diversidad de músicas que existen en el mundo y fomentar el interés y el respeto por otras culturas que coexisten hoy día en España y en la comunidad andaluza, tomando conciencia </w:t>
      </w:r>
      <w:proofErr w:type="gramStart"/>
      <w:r>
        <w:rPr>
          <w:rFonts w:ascii="Arial" w:eastAsia="NewsGotT-Regu" w:hAnsi="Arial" w:cs="NewsGotT-Regu"/>
          <w:sz w:val="24"/>
        </w:rPr>
        <w:t>del</w:t>
      </w:r>
      <w:proofErr w:type="gramEnd"/>
      <w:r>
        <w:rPr>
          <w:rFonts w:ascii="Arial" w:eastAsia="NewsGotT-Regu" w:hAnsi="Arial" w:cs="NewsGotT-Regu"/>
          <w:sz w:val="24"/>
        </w:rPr>
        <w:t xml:space="preserve"> enriquecimiento cultural que la integración supone.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 xml:space="preserve">9. Conocer y apreciar la riqueza </w:t>
      </w:r>
      <w:proofErr w:type="gramStart"/>
      <w:r>
        <w:rPr>
          <w:rFonts w:ascii="Arial" w:eastAsia="NewsGotT-Regu" w:hAnsi="Arial" w:cs="NewsGotT-Regu"/>
          <w:sz w:val="24"/>
        </w:rPr>
        <w:t>del</w:t>
      </w:r>
      <w:proofErr w:type="gramEnd"/>
      <w:r>
        <w:rPr>
          <w:rFonts w:ascii="Arial" w:eastAsia="NewsGotT-Regu" w:hAnsi="Arial" w:cs="NewsGotT-Regu"/>
          <w:sz w:val="24"/>
        </w:rPr>
        <w:t xml:space="preserve"> folclore tradicional de nuestro país: principales danzas, cantes, agrupaciones instrumentales.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>10. Conocer el flamenco y ahondar en sus raíces a través de identificar los principales «palos», baile, cante, instrumentos y tomar conciencia de la proyección y significación del flamenco en el mundo.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>11. Comprender y apreciar las relaciones entre el lenguaje musical y otros lenguajes y ámbitos de conocimiento.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>12. Elaborar juicios y criterios personales mediante un análisis crítico de los diferentes usos sociales de la música</w:t>
      </w:r>
      <w:proofErr w:type="gramStart"/>
      <w:r>
        <w:rPr>
          <w:rFonts w:ascii="Arial" w:eastAsia="NewsGotT-Regu" w:hAnsi="Arial" w:cs="NewsGotT-Regu"/>
          <w:sz w:val="24"/>
        </w:rPr>
        <w:t>,  aplicándolos</w:t>
      </w:r>
      <w:proofErr w:type="gramEnd"/>
      <w:r>
        <w:rPr>
          <w:rFonts w:ascii="Arial" w:eastAsia="NewsGotT-Regu" w:hAnsi="Arial" w:cs="NewsGotT-Regu"/>
          <w:sz w:val="24"/>
        </w:rPr>
        <w:t xml:space="preserve"> con autonomía e iniciativa a situaciones cotidianas y valorando su contribución a la vida personal y a la de la comunidad.</w:t>
      </w: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 xml:space="preserve"> </w:t>
      </w: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>13. Valorar la contribución que la música puede hacer al desarrollo emotivo, estético e intelectual de las personas, incorporando a su</w:t>
      </w: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proofErr w:type="gramStart"/>
      <w:r>
        <w:rPr>
          <w:rFonts w:ascii="Arial" w:eastAsia="NewsGotT-Regu" w:hAnsi="Arial" w:cs="NewsGotT-Regu"/>
          <w:sz w:val="24"/>
        </w:rPr>
        <w:t>vida</w:t>
      </w:r>
      <w:proofErr w:type="gramEnd"/>
      <w:r>
        <w:rPr>
          <w:rFonts w:ascii="Arial" w:eastAsia="NewsGotT-Regu" w:hAnsi="Arial" w:cs="NewsGotT-Regu"/>
          <w:sz w:val="24"/>
        </w:rPr>
        <w:t xml:space="preserve"> cotidiana el hábito de contacto y disfrute del arte en general.</w:t>
      </w:r>
    </w:p>
    <w:p w:rsidR="005478C5" w:rsidRDefault="005478C5">
      <w:pPr>
        <w:autoSpaceDE w:val="0"/>
        <w:rPr>
          <w:rFonts w:ascii="Arial" w:eastAsia="NewsGotT-Regu" w:hAnsi="Arial" w:cs="NewsGotT-Regu"/>
          <w:sz w:val="24"/>
        </w:rPr>
      </w:pPr>
    </w:p>
    <w:p w:rsidR="005478C5" w:rsidRDefault="002A581C">
      <w:pPr>
        <w:autoSpaceDE w:val="0"/>
        <w:rPr>
          <w:rFonts w:ascii="Arial" w:eastAsia="NewsGotT-Regu" w:hAnsi="Arial" w:cs="NewsGotT-Regu"/>
          <w:sz w:val="24"/>
        </w:rPr>
      </w:pPr>
      <w:r>
        <w:rPr>
          <w:rFonts w:ascii="Arial" w:eastAsia="NewsGotT-Regu" w:hAnsi="Arial" w:cs="NewsGotT-Regu"/>
          <w:sz w:val="24"/>
        </w:rPr>
        <w:t xml:space="preserve">14. Valorar el silencio y el sonido </w:t>
      </w:r>
      <w:proofErr w:type="gramStart"/>
      <w:r>
        <w:rPr>
          <w:rFonts w:ascii="Arial" w:eastAsia="NewsGotT-Regu" w:hAnsi="Arial" w:cs="NewsGotT-Regu"/>
          <w:sz w:val="24"/>
        </w:rPr>
        <w:t>como</w:t>
      </w:r>
      <w:proofErr w:type="gramEnd"/>
      <w:r>
        <w:rPr>
          <w:rFonts w:ascii="Arial" w:eastAsia="NewsGotT-Regu" w:hAnsi="Arial" w:cs="NewsGotT-Regu"/>
          <w:sz w:val="24"/>
        </w:rPr>
        <w:t xml:space="preserve"> parte integral del medio ambiente y de la música, tomando conciencia de los problemas creados por la contaminación acústica y sus consecuencias. </w:t>
      </w:r>
    </w:p>
    <w:p w:rsidR="005478C5" w:rsidRDefault="002A581C">
      <w:pPr>
        <w:autoSpaceDE w:val="0"/>
        <w:rPr>
          <w:rFonts w:ascii="Arial" w:eastAsia="Arial" w:hAnsi="Arial" w:cs="Arial"/>
          <w:color w:val="auto"/>
          <w:sz w:val="24"/>
        </w:rPr>
      </w:pPr>
      <w:r>
        <w:rPr>
          <w:rFonts w:ascii="Arial" w:eastAsia="NewsGotT-Regu" w:hAnsi="Arial" w:cs="NewsGotT-Regu"/>
          <w:sz w:val="24"/>
        </w:rPr>
        <w:t xml:space="preserve"> </w:t>
      </w:r>
    </w:p>
    <w:p w:rsidR="005478C5" w:rsidRDefault="005478C5">
      <w:pPr>
        <w:spacing w:before="28" w:after="28" w:line="100" w:lineRule="atLeast"/>
        <w:jc w:val="both"/>
        <w:rPr>
          <w:rFonts w:ascii="Arial" w:eastAsia="Arial" w:hAnsi="Arial" w:cs="Arial"/>
          <w:color w:val="auto"/>
          <w:sz w:val="24"/>
        </w:rPr>
      </w:pPr>
    </w:p>
    <w:p w:rsidR="005478C5" w:rsidRDefault="005478C5">
      <w:pPr>
        <w:spacing w:before="28" w:after="28" w:line="100" w:lineRule="atLeast"/>
        <w:jc w:val="both"/>
        <w:rPr>
          <w:rFonts w:ascii="Arial" w:eastAsia="Arial" w:hAnsi="Arial" w:cs="Arial"/>
          <w:color w:val="auto"/>
          <w:sz w:val="24"/>
        </w:rPr>
      </w:pPr>
    </w:p>
    <w:p w:rsidR="005478C5" w:rsidRDefault="005478C5">
      <w:pPr>
        <w:spacing w:before="28" w:after="28" w:line="100" w:lineRule="atLeast"/>
        <w:jc w:val="both"/>
        <w:rPr>
          <w:rFonts w:ascii="Arial" w:eastAsia="Arial" w:hAnsi="Arial" w:cs="Arial"/>
          <w:color w:val="auto"/>
          <w:sz w:val="24"/>
        </w:rPr>
      </w:pPr>
    </w:p>
    <w:p w:rsidR="005478C5" w:rsidRDefault="005478C5">
      <w:pPr>
        <w:spacing w:before="28" w:after="28" w:line="100" w:lineRule="atLeast"/>
        <w:jc w:val="both"/>
        <w:rPr>
          <w:rFonts w:ascii="Arial" w:eastAsia="Arial" w:hAnsi="Arial" w:cs="Arial"/>
          <w:color w:val="auto"/>
          <w:sz w:val="24"/>
        </w:rPr>
      </w:pPr>
    </w:p>
    <w:p w:rsidR="005478C5" w:rsidRDefault="005478C5">
      <w:pPr>
        <w:spacing w:before="28" w:after="28" w:line="100" w:lineRule="atLeast"/>
        <w:jc w:val="both"/>
        <w:rPr>
          <w:rFonts w:ascii="Arial" w:eastAsia="Arial" w:hAnsi="Arial" w:cs="Arial"/>
          <w:color w:val="auto"/>
          <w:sz w:val="24"/>
        </w:rPr>
      </w:pPr>
    </w:p>
    <w:p w:rsidR="005478C5" w:rsidRDefault="002A581C">
      <w:pPr>
        <w:spacing w:before="28" w:after="28" w:line="100" w:lineRule="atLeast"/>
        <w:jc w:val="both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b/>
          <w:bCs/>
          <w:color w:val="auto"/>
          <w:sz w:val="24"/>
        </w:rPr>
        <w:lastRenderedPageBreak/>
        <w:t>RELACIÓN DE CONTENIDOS, CRITERIOS DE EVALUACIÓN, ESTÁNDARES DE APRENDIZAJE Y COMPETENCIAS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95"/>
        <w:gridCol w:w="945"/>
        <w:gridCol w:w="4500"/>
        <w:gridCol w:w="5772"/>
        <w:gridCol w:w="848"/>
      </w:tblGrid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CONTENIDOS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UNIDAD DIDÁCTICA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CRITERIOS DE EVALUACIÓN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ESTÁNDARES DE APRENDIZAJE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COMP</w:t>
            </w:r>
          </w:p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CLAVE</w:t>
            </w:r>
          </w:p>
        </w:tc>
      </w:tr>
      <w:tr w:rsidR="005478C5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jc w:val="center"/>
            </w:pPr>
            <w:r>
              <w:rPr>
                <w:rFonts w:ascii="Arial" w:eastAsia="Arial" w:hAnsi="Arial" w:cs="Arial"/>
                <w:color w:val="auto"/>
                <w:sz w:val="24"/>
              </w:rPr>
              <w:t>Bloque 1. Interpretación y Creación</w:t>
            </w:r>
          </w:p>
        </w:tc>
      </w:tr>
      <w:tr w:rsidR="005478C5">
        <w:trPr>
          <w:trHeight w:val="1264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numPr>
                <w:ilvl w:val="0"/>
                <w:numId w:val="13"/>
              </w:numPr>
              <w:tabs>
                <w:tab w:val="left" w:pos="0"/>
              </w:tabs>
              <w:spacing w:before="28" w:after="28" w:line="100" w:lineRule="atLeast"/>
              <w:ind w:left="0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Figuras y notas. Clave de sol y de fa en cuarta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UD 1 UD 2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1. Distinguir y utilizar los elementos de la representación gráfica de la música -colocación de las notas en el    pentagrama 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-clave de sol y de fa en cuarta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-duración de las figuras 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-signos que afectan a la intensidad, tempo y matices 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-Acordes de tríada</w:t>
            </w:r>
          </w:p>
        </w:tc>
        <w:tc>
          <w:tcPr>
            <w:tcW w:w="5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1.1Coloca y distingue las notas en el pentagrama en clave de sol y de fa en cuarta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1.2Conoce y utiliza correctamente  las figuras              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1.3Conoce los compases simples, compuestos y de amalgama que se utilizan en el flamenco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1.4Conoce  la construcción de escalas diatónicas en modo mayor y menor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1.5Conoce y emplea signos que afectan a la intensidad, matices, tempo y carácter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CMCT</w:t>
            </w:r>
          </w:p>
          <w:p w:rsidR="005478C5" w:rsidRDefault="002A581C">
            <w:pPr>
              <w:spacing w:line="276" w:lineRule="auto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CCL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numPr>
                <w:ilvl w:val="0"/>
                <w:numId w:val="13"/>
              </w:numPr>
              <w:tabs>
                <w:tab w:val="left" w:pos="0"/>
              </w:tabs>
              <w:spacing w:before="28" w:after="28" w:line="100" w:lineRule="atLeast"/>
              <w:ind w:left="0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Los intervalos. Escalas mayores y menores. Acordes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</w:pPr>
            <w:r>
              <w:rPr>
                <w:rFonts w:ascii="Arial" w:eastAsia="Arial" w:hAnsi="Arial" w:cs="Arial"/>
                <w:color w:val="auto"/>
                <w:sz w:val="24"/>
              </w:rPr>
              <w:t>UD 5</w:t>
            </w: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5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numPr>
                <w:ilvl w:val="0"/>
                <w:numId w:val="13"/>
              </w:numPr>
              <w:tabs>
                <w:tab w:val="left" w:pos="0"/>
              </w:tabs>
              <w:spacing w:before="28" w:after="28" w:line="100" w:lineRule="atLeast"/>
              <w:ind w:left="0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Indicaciones de tempo, dinámica, carácter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UD 1 </w:t>
            </w: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5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. El compás, métrica y ritmo.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UD 2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2. Interpretar estructuras musicales elementales construidas sobre los modos y las escalas más sencillas y los ritmos más comunes.</w:t>
            </w:r>
          </w:p>
          <w:p w:rsidR="005478C5" w:rsidRDefault="005478C5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5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2.1. Interpreta estructuras musicales elementales construidas sobre los modos y las escalas más sencillas y los ritmos más comunes. 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2.2. Utiliza los elementos y recursos adquiridos para interpretar y crear canciones, piezas instrumentales o coreografías. 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CCL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CMCT</w:t>
            </w:r>
          </w:p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CCL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t xml:space="preserve">. </w:t>
            </w:r>
            <w:r>
              <w:rPr>
                <w:rFonts w:ascii="Arial" w:hAnsi="Arial"/>
                <w:sz w:val="24"/>
              </w:rPr>
              <w:t xml:space="preserve">Estructura melódica: frases y semifrases.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</w:pPr>
            <w:r>
              <w:rPr>
                <w:rFonts w:ascii="Arial" w:eastAsia="Arial" w:hAnsi="Arial" w:cs="Arial"/>
                <w:color w:val="auto"/>
                <w:sz w:val="24"/>
              </w:rPr>
              <w:t>UD 2, 4 y 5</w:t>
            </w: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5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La textura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UD 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3. Comprender el concepto de textura y reconocer los diferentes tipos en partituras y audiciones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3.1 Reconoce y comprende diferentes tipos de textura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CAA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SIEP</w:t>
            </w:r>
          </w:p>
          <w:p w:rsidR="005478C5" w:rsidRDefault="002A581C">
            <w:pPr>
              <w:spacing w:line="276" w:lineRule="auto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CD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Principios de composición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.La organización de la música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UD 3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UD 5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4. Conocer los principios básicos de los procedimientos compositivos y las formas de organización musical</w:t>
            </w:r>
          </w:p>
        </w:tc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4.1 Comprende e identifica los conceptos y términos básicos relacionados con los procedimientos compositivos y los tipos formales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CMCT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CD</w:t>
            </w:r>
          </w:p>
          <w:p w:rsidR="005478C5" w:rsidRDefault="002A581C">
            <w:pPr>
              <w:spacing w:line="276" w:lineRule="auto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CCL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Práctica instrumental individual</w:t>
            </w:r>
          </w:p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Todas</w:t>
            </w:r>
          </w:p>
        </w:tc>
        <w:tc>
          <w:tcPr>
            <w:tcW w:w="4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5. Mostrar interés por el desarrollo de las capacidades y habilidades técnicas como medio para las actividades de interpretación, aceptando y cumpliendo </w:t>
            </w: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>las normas que rigen la interpretación en grupo y aportando ideas musicales que contribuyan al perfeccionamiento de la tarea común.</w:t>
            </w:r>
          </w:p>
          <w:p w:rsidR="005478C5" w:rsidRDefault="005478C5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5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 xml:space="preserve">5.1. Muestra interés por el conocimiento y cuidado de la voz, el cuerpo y los instrumentos. 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5.2. Canta piezas vocales propuestas aplicando técnicas que permitan una correcta emisión de la </w:t>
            </w: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>voz.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 5.3. Practica la relajación, la respiración, la articulación, la resonancia y la entonación. 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5.4. Adquiere y aplica las habilidades técnicas e interpretativas necesarias y adecuadas al nivel.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 5.5. Conoce y pone en práctica las técnicas de control de emociones a la hora de mejorar sus resultados en la exposición ante un público.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CEC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SIEP</w:t>
            </w:r>
          </w:p>
          <w:p w:rsidR="005478C5" w:rsidRDefault="002A581C">
            <w:pPr>
              <w:spacing w:line="276" w:lineRule="auto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CSC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  La voz.  Clasificación.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Agrupaciones</w:t>
            </w:r>
          </w:p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2A581C">
            <w:pPr>
              <w:spacing w:line="276" w:lineRule="auto"/>
            </w:pPr>
            <w:r>
              <w:rPr>
                <w:rFonts w:ascii="Arial" w:eastAsia="Arial" w:hAnsi="Arial" w:cs="Arial"/>
                <w:color w:val="auto"/>
                <w:sz w:val="24"/>
              </w:rPr>
              <w:t>UD 3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5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</w:tr>
      <w:tr w:rsidR="005478C5">
        <w:trPr>
          <w:trHeight w:val="89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. Creación de ritmos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UD 2 y 4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6. Demostrar interés por las actividades de </w:t>
            </w:r>
            <w:proofErr w:type="gramStart"/>
            <w:r>
              <w:rPr>
                <w:rFonts w:ascii="Arial" w:eastAsia="Arial" w:hAnsi="Arial" w:cs="Arial"/>
                <w:color w:val="auto"/>
                <w:sz w:val="24"/>
              </w:rPr>
              <w:t>composición  y</w:t>
            </w:r>
            <w:proofErr w:type="gramEnd"/>
            <w:r>
              <w:rPr>
                <w:rFonts w:ascii="Arial" w:eastAsia="Arial" w:hAnsi="Arial" w:cs="Arial"/>
                <w:color w:val="auto"/>
                <w:sz w:val="24"/>
              </w:rPr>
              <w:t xml:space="preserve"> mostrar respeto por las creaciones de sus compañeros. </w:t>
            </w:r>
          </w:p>
          <w:p w:rsidR="005478C5" w:rsidRDefault="005478C5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5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6.1. Realiza breves composiciones partiendo de pautas previamente establecidas. 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6.2. Demuestra una actitud de superación y mejora de sus posibilidades y respeta las distintas capacidades y formas de expresión de sus compañeros.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SIEP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CMct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CAA</w:t>
            </w:r>
          </w:p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CSC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. Composición de melodías sencillas 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5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before="28" w:after="28" w:line="100" w:lineRule="atLeast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5478C5">
            <w:pPr>
              <w:spacing w:before="28" w:after="28" w:line="100" w:lineRule="atLeast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5478C5">
            <w:pPr>
              <w:spacing w:before="28" w:after="28" w:line="100" w:lineRule="atLeast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2A581C">
            <w:pPr>
              <w:numPr>
                <w:ilvl w:val="0"/>
                <w:numId w:val="15"/>
              </w:numPr>
              <w:tabs>
                <w:tab w:val="left" w:pos="0"/>
              </w:tabs>
              <w:spacing w:before="28" w:after="28" w:line="100" w:lineRule="atLeast"/>
              <w:ind w:left="0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Práctica instrumental grupal</w:t>
            </w:r>
          </w:p>
          <w:p w:rsidR="005478C5" w:rsidRDefault="005478C5">
            <w:pPr>
              <w:spacing w:before="28" w:after="28" w:line="100" w:lineRule="atLeast"/>
              <w:ind w:left="-360" w:firstLine="360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5478C5">
            <w:pPr>
              <w:spacing w:before="28" w:after="28" w:line="100" w:lineRule="atLeast"/>
              <w:ind w:left="-360" w:firstLine="360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2A581C">
            <w:pPr>
              <w:numPr>
                <w:ilvl w:val="0"/>
                <w:numId w:val="15"/>
              </w:numPr>
              <w:tabs>
                <w:tab w:val="left" w:pos="0"/>
              </w:tabs>
              <w:spacing w:before="28" w:after="28" w:line="100" w:lineRule="atLeast"/>
              <w:ind w:left="0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Práctica vocal grupal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Todas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7. Participar activamente y con iniciativa personal en las actividades de interpretación, asumiendo diferentes roles, intentando concertar su acción con la del resto del conjunto, aportando ideas musicales y contribuyendo al perfeccionamiento de la tarea en común. </w:t>
            </w:r>
          </w:p>
          <w:p w:rsidR="005478C5" w:rsidRDefault="005478C5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7.1. Practica, interpreta y memoriza piezas vocales, instrumentales y danzas de diferentes géneros, estilos y culturas, incluida la andaluza, aprendidas por imitación y a través de la lectura de partituras con diversas formas de notación, adecuadas al nivel. 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7.2. Practica las pautas básicas de la interpretación: silencio, atención al director y a los otros intérpretes, audición interior, memoria y adecuación al conjunto, con espíritu crítico ante su propia interpretación y la de su grupo. 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7.3Participa de manera </w:t>
            </w:r>
            <w:proofErr w:type="gramStart"/>
            <w:r>
              <w:rPr>
                <w:rFonts w:ascii="Arial" w:eastAsia="Arial" w:hAnsi="Arial" w:cs="Arial"/>
                <w:color w:val="auto"/>
                <w:sz w:val="24"/>
              </w:rPr>
              <w:t>activa ,</w:t>
            </w:r>
            <w:proofErr w:type="gramEnd"/>
            <w:r>
              <w:rPr>
                <w:rFonts w:ascii="Arial" w:eastAsia="Arial" w:hAnsi="Arial" w:cs="Arial"/>
                <w:color w:val="auto"/>
                <w:sz w:val="24"/>
              </w:rPr>
              <w:t xml:space="preserve"> colaborando con actitudes de mejora y compromiso y mostrando una actitud abierta y respetuosa.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SIEP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4"/>
              </w:rPr>
            </w:pPr>
          </w:p>
        </w:tc>
        <w:tc>
          <w:tcPr>
            <w:tcW w:w="10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Bloque 2. Escucha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. Las familias de los </w:t>
            </w:r>
            <w:proofErr w:type="gramStart"/>
            <w:r>
              <w:rPr>
                <w:rFonts w:ascii="Arial" w:eastAsia="Arial" w:hAnsi="Arial" w:cs="Arial"/>
                <w:color w:val="auto"/>
                <w:sz w:val="24"/>
              </w:rPr>
              <w:t>instrumentos .</w:t>
            </w:r>
            <w:proofErr w:type="gramEnd"/>
            <w:r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>Agrupaciones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Los instrumentos en la historia.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>UD  3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y las </w:t>
            </w: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>restantes</w:t>
            </w:r>
          </w:p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 xml:space="preserve">8. Identificar y describir los diferentes instrumentos y voces y sus </w:t>
            </w: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 xml:space="preserve">agrupaciones. </w:t>
            </w:r>
          </w:p>
          <w:p w:rsidR="005478C5" w:rsidRDefault="005478C5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 xml:space="preserve">8.1. Diferencia las sonoridades de los instrumentos de la orquesta, así como su forma, y los diferentes </w:t>
            </w: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 xml:space="preserve">tipos de voces. 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8.2. Descubre la evolución de los instrumentos </w:t>
            </w:r>
            <w:proofErr w:type="gramStart"/>
            <w:r>
              <w:rPr>
                <w:rFonts w:ascii="Arial" w:eastAsia="Arial" w:hAnsi="Arial" w:cs="Arial"/>
                <w:color w:val="auto"/>
                <w:sz w:val="24"/>
              </w:rPr>
              <w:t>a lo</w:t>
            </w:r>
            <w:proofErr w:type="gramEnd"/>
            <w:r>
              <w:rPr>
                <w:rFonts w:ascii="Arial" w:eastAsia="Arial" w:hAnsi="Arial" w:cs="Arial"/>
                <w:color w:val="auto"/>
                <w:sz w:val="24"/>
              </w:rPr>
              <w:t xml:space="preserve"> largo de la historia.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CEC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CCL</w:t>
            </w:r>
          </w:p>
          <w:p w:rsidR="005478C5" w:rsidRDefault="005478C5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>Lectura de partituras como apoyo a la audición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Todas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9. Leer distintos tipos de partituras en el aula como apoyo a la audición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9.1 Lee partituras como apoyo a la audición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CD</w:t>
            </w:r>
          </w:p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CAA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Audiciones activas pautadas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Todas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10. Reconocer auditivamente la época o cultura a la que pertenecen distintas obras, interesándose por ampliar sus preferencias</w:t>
            </w:r>
          </w:p>
        </w:tc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10.1Reconoce y sitúa en el tiempo músicas de diferentes épocas y culturas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10.2 Muestra interés por conocer músicas de diferentes épocas y culturas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CD</w:t>
            </w:r>
          </w:p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CSC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Análisis básico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Todas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11. Identificar y describir algunos elementos, estructuras y formas de una obra musical</w:t>
            </w:r>
          </w:p>
        </w:tc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11.1Describe los diferentes elementos de las obras musicales propuestas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11.2 Emplea términos musicales adecuados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CCL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CMCT</w:t>
            </w:r>
          </w:p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CD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El silencio y la música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Todas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12. Valorar el silencio como condición previa para participar en las audiciones. </w:t>
            </w:r>
          </w:p>
        </w:tc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12.1. Valora el silencio como elemento indispensable para la interpretación y la audición.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CCL</w:t>
            </w:r>
          </w:p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CSC</w:t>
            </w:r>
          </w:p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4"/>
              </w:rPr>
            </w:pPr>
          </w:p>
        </w:tc>
        <w:tc>
          <w:tcPr>
            <w:tcW w:w="10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4"/>
              </w:rPr>
              <w:t>Bloque 3. Contextos musicales y culturales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Audiciones, investigación y reseñas de estilos y compositores de distintas épocas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Todas</w:t>
            </w:r>
          </w:p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5478C5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11. Demostrar interés por conocer músicas de distintas características, épocas y culturas, especialmente la andaluza, y por ampliar y diversificar las propias preferencias musicales, adoptando una actitud abierta y respetuosa. </w:t>
            </w:r>
          </w:p>
          <w:p w:rsidR="005478C5" w:rsidRDefault="005478C5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5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11.1. Muestra interés por conocer los distintos géneros musicales y sus funciones expresivas, disfrutando de ellos como oyente con capacidad selectiva. 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11.2. Muestra interés por conocer música de diferentes épocas y culturas como fuente de enriquecimiento cultural y disfrute personal.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CAA</w:t>
            </w:r>
          </w:p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CCL</w:t>
            </w:r>
          </w:p>
          <w:p w:rsidR="005478C5" w:rsidRDefault="002A581C">
            <w:pPr>
              <w:spacing w:line="276" w:lineRule="auto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CSC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Compositores del ámbito andaluz.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</w:pPr>
            <w:r>
              <w:rPr>
                <w:rFonts w:ascii="Arial" w:eastAsia="Arial" w:hAnsi="Arial" w:cs="Arial"/>
                <w:color w:val="auto"/>
                <w:sz w:val="24"/>
              </w:rPr>
              <w:t>UD 7</w:t>
            </w: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5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numPr>
                <w:ilvl w:val="0"/>
                <w:numId w:val="16"/>
              </w:numPr>
              <w:tabs>
                <w:tab w:val="left" w:pos="0"/>
              </w:tabs>
              <w:spacing w:before="28" w:after="28" w:line="100" w:lineRule="atLeast"/>
              <w:ind w:left="0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 Análisis básico de obras musicales encuadradas en sus épocas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Todas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276" w:lineRule="auto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12. Relacionar las cuestiones técnicas aprendidas en esta y otras disciplinas, con las características de los periodos de la historia de la música. 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12.1. Relaciona las cuestiones técnicas aprendidas en música, plástica, historia y literatura, con los periodos de la historia de la música correspondientes.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CAA</w:t>
            </w:r>
          </w:p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CMCT</w:t>
            </w:r>
          </w:p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Historia de la música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Todas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13. Distinguir  los grandes periodos de la historia de la música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13.1. Distingue los periodos de la música y las tendencias musicales.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CSC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>. Proyecto final de curso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UD 8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14. Mostrar interés y actitud crítica por la música actual, musicales, conciertos en vivo y nuevas propuestas musicales</w:t>
            </w:r>
          </w:p>
        </w:tc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14.1Indaga sobre nuevas tendencias, grupos</w:t>
            </w:r>
            <w:proofErr w:type="gramStart"/>
            <w:r>
              <w:rPr>
                <w:rFonts w:ascii="Arial" w:eastAsia="Arial" w:hAnsi="Arial" w:cs="Arial"/>
                <w:color w:val="auto"/>
                <w:sz w:val="24"/>
              </w:rPr>
              <w:t>..</w:t>
            </w:r>
            <w:proofErr w:type="gramEnd"/>
            <w:r>
              <w:rPr>
                <w:rFonts w:ascii="Arial" w:eastAsia="Arial" w:hAnsi="Arial" w:cs="Arial"/>
                <w:color w:val="auto"/>
                <w:sz w:val="24"/>
              </w:rPr>
              <w:t xml:space="preserve"> y elabora un trabajo en equipo para exponer a clase con apoyo de nuevas tecnologías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CAA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CSC</w:t>
            </w:r>
          </w:p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CD</w:t>
            </w:r>
          </w:p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4"/>
              </w:rPr>
            </w:pPr>
          </w:p>
        </w:tc>
        <w:tc>
          <w:tcPr>
            <w:tcW w:w="10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Bloque 4. Música y Tecnologías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>
            <w:pPr>
              <w:spacing w:line="100" w:lineRule="atLeast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5478C5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Grabación  de prácticas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Audiciones, visionados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Todas</w:t>
            </w:r>
          </w:p>
          <w:p w:rsidR="005478C5" w:rsidRDefault="005478C5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</w:p>
          <w:p w:rsidR="005478C5" w:rsidRDefault="005478C5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15. Utilizar de manera funcional los recursos informáticos disponibles para el aprendizaje e indagación del hecho musical. </w:t>
            </w:r>
          </w:p>
        </w:tc>
        <w:tc>
          <w:tcPr>
            <w:tcW w:w="5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15.1. Utiliza con autonomía las fuentes y los procedimientos apropiados para elaborar trabajos sobre temas relacionados con el hecho musical. </w:t>
            </w:r>
          </w:p>
          <w:p w:rsidR="005478C5" w:rsidRDefault="005478C5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CD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CAA</w:t>
            </w:r>
          </w:p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SIEP</w:t>
            </w:r>
          </w:p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CEC</w:t>
            </w:r>
          </w:p>
        </w:tc>
      </w:tr>
      <w:tr w:rsidR="005478C5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. Proyecto de fin de curso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2A581C">
            <w:pPr>
              <w:spacing w:line="100" w:lineRule="atLeast"/>
            </w:pPr>
            <w:r>
              <w:rPr>
                <w:rFonts w:ascii="Arial" w:eastAsia="Arial" w:hAnsi="Arial" w:cs="Arial"/>
                <w:color w:val="auto"/>
                <w:sz w:val="24"/>
              </w:rPr>
              <w:t>UD 8</w:t>
            </w: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5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8C5" w:rsidRDefault="005478C5"/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8C5" w:rsidRDefault="005478C5"/>
        </w:tc>
      </w:tr>
    </w:tbl>
    <w:p w:rsidR="005478C5" w:rsidRDefault="005478C5">
      <w:pPr>
        <w:spacing w:before="28" w:after="28" w:line="100" w:lineRule="atLeast"/>
        <w:ind w:firstLine="284"/>
        <w:jc w:val="both"/>
        <w:rPr>
          <w:rFonts w:ascii="Arial" w:eastAsia="Arial" w:hAnsi="Arial" w:cs="Arial"/>
          <w:b/>
          <w:bCs/>
          <w:color w:val="auto"/>
          <w:sz w:val="24"/>
        </w:rPr>
      </w:pPr>
    </w:p>
    <w:p w:rsidR="005478C5" w:rsidRDefault="002A581C">
      <w:pPr>
        <w:spacing w:before="28" w:after="28" w:line="100" w:lineRule="atLeast"/>
        <w:ind w:firstLine="284"/>
        <w:jc w:val="both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b/>
          <w:bCs/>
          <w:color w:val="auto"/>
          <w:sz w:val="24"/>
        </w:rPr>
        <w:t xml:space="preserve">COMPETENCIAS CLAVE: </w:t>
      </w:r>
    </w:p>
    <w:p w:rsidR="005478C5" w:rsidRDefault="002A581C">
      <w:pPr>
        <w:spacing w:before="28" w:after="28" w:line="100" w:lineRule="atLeast"/>
        <w:jc w:val="both"/>
        <w:rPr>
          <w:rFonts w:ascii="Arial" w:eastAsia="Arial" w:hAnsi="Arial" w:cs="Arial"/>
          <w:b/>
          <w:bCs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 xml:space="preserve">CCL: Competencia comunicación </w:t>
      </w:r>
      <w:proofErr w:type="gramStart"/>
      <w:r>
        <w:rPr>
          <w:rFonts w:ascii="Arial" w:eastAsia="Arial" w:hAnsi="Arial" w:cs="Arial"/>
          <w:color w:val="auto"/>
          <w:sz w:val="24"/>
        </w:rPr>
        <w:t>lingüística  CMCT:Competencia</w:t>
      </w:r>
      <w:proofErr w:type="gramEnd"/>
      <w:r>
        <w:rPr>
          <w:rFonts w:ascii="Arial" w:eastAsia="Arial" w:hAnsi="Arial" w:cs="Arial"/>
          <w:color w:val="auto"/>
          <w:sz w:val="24"/>
        </w:rPr>
        <w:t xml:space="preserve"> matemática y competencias básicas en ciencia y tecnología CD:Competencia digital CAA: Competencia para aprender a aprender  CSC: Competencia Social y Cívica SIEP: Competencia de Sentido de iniciativa y espíritu emprendedor CEC: Competencia de conciencia y expresiones culturales.</w:t>
      </w:r>
    </w:p>
    <w:p w:rsidR="005478C5" w:rsidRDefault="005478C5">
      <w:pPr>
        <w:spacing w:before="28" w:after="28" w:line="100" w:lineRule="atLeast"/>
        <w:ind w:firstLine="284"/>
        <w:jc w:val="both"/>
        <w:rPr>
          <w:rFonts w:ascii="Arial" w:eastAsia="Arial" w:hAnsi="Arial" w:cs="Arial"/>
          <w:b/>
          <w:bCs/>
          <w:color w:val="auto"/>
          <w:sz w:val="24"/>
        </w:rPr>
      </w:pPr>
    </w:p>
    <w:p w:rsidR="005478C5" w:rsidRDefault="002A581C">
      <w:pPr>
        <w:spacing w:before="28" w:after="28" w:line="100" w:lineRule="atLeast"/>
        <w:ind w:firstLine="284"/>
        <w:jc w:val="both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color w:val="auto"/>
          <w:sz w:val="24"/>
        </w:rPr>
        <w:t xml:space="preserve">SECUENCIA TEMPORAL DE LAS UNIDADES DIDÁCTICAS </w:t>
      </w:r>
    </w:p>
    <w:p w:rsidR="005478C5" w:rsidRDefault="002A581C">
      <w:pPr>
        <w:numPr>
          <w:ilvl w:val="0"/>
          <w:numId w:val="2"/>
        </w:numPr>
        <w:spacing w:before="280" w:after="28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Primera evaluación:</w:t>
      </w:r>
    </w:p>
    <w:p w:rsidR="005478C5" w:rsidRDefault="002A581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 Didáctica 1: </w:t>
      </w:r>
    </w:p>
    <w:p w:rsidR="005478C5" w:rsidRDefault="002A581C">
      <w:pPr>
        <w:pStyle w:val="Sinespaciad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Parámetros del sonido y elementos de la música</w:t>
      </w:r>
    </w:p>
    <w:p w:rsidR="005478C5" w:rsidRDefault="002A581C">
      <w:pPr>
        <w:pStyle w:val="Sinespaciad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música en la Antigüedad</w:t>
      </w:r>
    </w:p>
    <w:p w:rsidR="005478C5" w:rsidRDefault="002A581C">
      <w:pPr>
        <w:pStyle w:val="Sinespaciad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 instrumental y vocal. Percusión corporal</w:t>
      </w:r>
    </w:p>
    <w:p w:rsidR="005478C5" w:rsidRDefault="002A581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 Didáctica 2: </w:t>
      </w:r>
    </w:p>
    <w:p w:rsidR="005478C5" w:rsidRDefault="002A581C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Repaso de los elementos básicos del lenguaje musical: ritmo y melodía.</w:t>
      </w:r>
    </w:p>
    <w:p w:rsidR="005478C5" w:rsidRDefault="002A581C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Textura. </w:t>
      </w:r>
    </w:p>
    <w:p w:rsidR="005478C5" w:rsidRDefault="002A581C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música medieval. Notación musical.</w:t>
      </w:r>
    </w:p>
    <w:p w:rsidR="005478C5" w:rsidRDefault="002A581C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Práctica instrumental y vocal: interpretación de partituras a una voz con acompañamiento.</w:t>
      </w:r>
    </w:p>
    <w:p w:rsidR="005478C5" w:rsidRDefault="002A581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 Didáctica 3: </w:t>
      </w:r>
    </w:p>
    <w:p w:rsidR="005478C5" w:rsidRDefault="002A581C">
      <w:pPr>
        <w:pStyle w:val="Sinespaciado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voz y los instrumentos. Agrupaciones</w:t>
      </w:r>
    </w:p>
    <w:p w:rsidR="005478C5" w:rsidRDefault="002A581C">
      <w:pPr>
        <w:pStyle w:val="Sinespaciado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música renacentista. </w:t>
      </w:r>
    </w:p>
    <w:p w:rsidR="005478C5" w:rsidRDefault="002A581C">
      <w:pPr>
        <w:pStyle w:val="Sinespaciado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 de danza: la pavana.</w:t>
      </w:r>
    </w:p>
    <w:p w:rsidR="005478C5" w:rsidRDefault="005478C5">
      <w:pPr>
        <w:pStyle w:val="Sinespaciad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5478C5" w:rsidRDefault="002A581C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 evaluación:</w:t>
      </w:r>
    </w:p>
    <w:p w:rsidR="005478C5" w:rsidRDefault="002A581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 Didáctica 4: </w:t>
      </w:r>
    </w:p>
    <w:p w:rsidR="005478C5" w:rsidRDefault="002A581C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Alteraciones. Armadura</w:t>
      </w:r>
    </w:p>
    <w:p w:rsidR="005478C5" w:rsidRDefault="002A581C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Procedimientos compositivos básicos </w:t>
      </w:r>
    </w:p>
    <w:p w:rsidR="005478C5" w:rsidRDefault="002A581C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música barroca.</w:t>
      </w:r>
    </w:p>
    <w:p w:rsidR="005478C5" w:rsidRDefault="002A581C">
      <w:pPr>
        <w:pStyle w:val="Sinespaciado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 instrumental y vocal: interpretación de partituras  con acompañamiento.</w:t>
      </w:r>
    </w:p>
    <w:p w:rsidR="005478C5" w:rsidRDefault="002A581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 Didáctica 5: </w:t>
      </w:r>
    </w:p>
    <w:p w:rsidR="005478C5" w:rsidRDefault="002A581C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Escalas, modos y acordes. </w:t>
      </w:r>
    </w:p>
    <w:p w:rsidR="005478C5" w:rsidRDefault="002A581C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Evolución de la música del Barroco al Romanticismo: Haydn, Mozart, Beethoven</w:t>
      </w:r>
    </w:p>
    <w:p w:rsidR="005478C5" w:rsidRDefault="002A581C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 instrumental y vocal con acompañamiento</w:t>
      </w:r>
    </w:p>
    <w:p w:rsidR="005478C5" w:rsidRDefault="002A581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 Didáctica 6: </w:t>
      </w:r>
    </w:p>
    <w:p w:rsidR="005478C5" w:rsidRDefault="002A581C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Prácticas de lenguaje musical.</w:t>
      </w:r>
    </w:p>
    <w:p w:rsidR="005478C5" w:rsidRDefault="002A581C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música romántica.</w:t>
      </w:r>
    </w:p>
    <w:p w:rsidR="005478C5" w:rsidRDefault="002A581C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 instrumental y vocal</w:t>
      </w:r>
    </w:p>
    <w:p w:rsidR="005478C5" w:rsidRDefault="002A581C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Danza: el vals</w:t>
      </w:r>
    </w:p>
    <w:p w:rsidR="005478C5" w:rsidRDefault="005478C5">
      <w:pPr>
        <w:pStyle w:val="Sinespaciad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5478C5" w:rsidRDefault="005478C5">
      <w:pPr>
        <w:pStyle w:val="Sinespaciad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5478C5" w:rsidRDefault="005478C5">
      <w:pPr>
        <w:pStyle w:val="Sinespaciad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5478C5" w:rsidRDefault="002A581C">
      <w:pPr>
        <w:pStyle w:val="Sinespaciado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Tercera evaluación:</w:t>
      </w:r>
    </w:p>
    <w:p w:rsidR="005478C5" w:rsidRDefault="002A581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 Didáctica 7: </w:t>
      </w:r>
    </w:p>
    <w:p w:rsidR="005478C5" w:rsidRDefault="002A581C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música nacionalista</w:t>
      </w:r>
    </w:p>
    <w:p w:rsidR="005478C5" w:rsidRDefault="002A581C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música andaluza. Compositores famosos</w:t>
      </w:r>
    </w:p>
    <w:p w:rsidR="005478C5" w:rsidRDefault="002A581C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 instrumental y vocal a dos voces con acompañamiento</w:t>
      </w:r>
    </w:p>
    <w:p w:rsidR="005478C5" w:rsidRDefault="002A581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 Didáctica 8: </w:t>
      </w:r>
    </w:p>
    <w:p w:rsidR="005478C5" w:rsidRDefault="002A581C">
      <w:pPr>
        <w:pStyle w:val="Sinespaciado"/>
        <w:widowControl w:val="0"/>
        <w:numPr>
          <w:ilvl w:val="0"/>
          <w:numId w:val="1"/>
        </w:numPr>
        <w:tabs>
          <w:tab w:val="left" w:pos="709"/>
        </w:tabs>
        <w:spacing w:after="20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Movimientos musicales del siglo XX</w:t>
      </w:r>
    </w:p>
    <w:p w:rsidR="005478C5" w:rsidRDefault="002A581C">
      <w:pPr>
        <w:pStyle w:val="Sinespaciado"/>
        <w:widowControl w:val="0"/>
        <w:numPr>
          <w:ilvl w:val="0"/>
          <w:numId w:val="1"/>
        </w:numPr>
        <w:tabs>
          <w:tab w:val="left" w:pos="709"/>
        </w:tabs>
        <w:spacing w:after="20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Música popular: flamenco,  jazz, rock y pop.</w:t>
      </w:r>
    </w:p>
    <w:p w:rsidR="005478C5" w:rsidRDefault="002A581C">
      <w:pPr>
        <w:pStyle w:val="Sinespaciado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de investigación  en equipo sobre nuevas tendencias en la música. Exposición oral con apoyo de medios tecnológicos.</w:t>
      </w:r>
    </w:p>
    <w:p w:rsidR="005478C5" w:rsidRDefault="002A581C">
      <w:pPr>
        <w:pStyle w:val="Sinespaciado"/>
        <w:spacing w:before="28" w:after="28" w:line="36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>-           Práctica instrumental y vocal a dos voces con acompañamiento</w:t>
      </w:r>
    </w:p>
    <w:p w:rsidR="005478C5" w:rsidRDefault="005478C5">
      <w:pPr>
        <w:spacing w:before="28" w:after="28" w:line="100" w:lineRule="atLeast"/>
        <w:ind w:firstLine="284"/>
        <w:jc w:val="both"/>
        <w:rPr>
          <w:rFonts w:ascii="Arial" w:eastAsia="Arial" w:hAnsi="Arial" w:cs="Arial"/>
          <w:color w:val="auto"/>
          <w:sz w:val="24"/>
        </w:rPr>
      </w:pPr>
    </w:p>
    <w:p w:rsidR="005478C5" w:rsidRDefault="002A581C">
      <w:pPr>
        <w:spacing w:before="28" w:after="28" w:line="100" w:lineRule="atLeast"/>
        <w:ind w:firstLine="284"/>
        <w:jc w:val="both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b/>
          <w:bCs/>
          <w:color w:val="auto"/>
          <w:sz w:val="24"/>
        </w:rPr>
        <w:t>METODOLOGÍA</w:t>
      </w:r>
    </w:p>
    <w:p w:rsidR="005478C5" w:rsidRDefault="002A581C">
      <w:pPr>
        <w:spacing w:before="28" w:after="28" w:line="100" w:lineRule="atLeast"/>
        <w:ind w:firstLine="284"/>
        <w:jc w:val="both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 xml:space="preserve">La música es </w:t>
      </w:r>
      <w:proofErr w:type="gramStart"/>
      <w:r>
        <w:rPr>
          <w:rFonts w:ascii="Arial" w:eastAsia="Arial" w:hAnsi="Arial" w:cs="Arial"/>
          <w:color w:val="auto"/>
          <w:sz w:val="24"/>
        </w:rPr>
        <w:t>un</w:t>
      </w:r>
      <w:proofErr w:type="gramEnd"/>
      <w:r>
        <w:rPr>
          <w:rFonts w:ascii="Arial" w:eastAsia="Arial" w:hAnsi="Arial" w:cs="Arial"/>
          <w:color w:val="auto"/>
          <w:sz w:val="24"/>
        </w:rPr>
        <w:t xml:space="preserve"> lenguaje y debe aprenderse como tal. Se favorecerá el aprendizaje progresivo y significativo por parte </w:t>
      </w:r>
      <w:proofErr w:type="gramStart"/>
      <w:r>
        <w:rPr>
          <w:rFonts w:ascii="Arial" w:eastAsia="Arial" w:hAnsi="Arial" w:cs="Arial"/>
          <w:color w:val="auto"/>
          <w:sz w:val="24"/>
        </w:rPr>
        <w:t>del</w:t>
      </w:r>
      <w:proofErr w:type="gramEnd"/>
      <w:r>
        <w:rPr>
          <w:rFonts w:ascii="Arial" w:eastAsia="Arial" w:hAnsi="Arial" w:cs="Arial"/>
          <w:color w:val="auto"/>
          <w:sz w:val="24"/>
        </w:rPr>
        <w:t xml:space="preserve"> alumnado. También será comprensivo, asimilativo y posteriormente aplicado a la práctica, procurando que siempre se encuentre relacionado con el desarrollo de las competencias clave que deben conseguirse </w:t>
      </w:r>
      <w:proofErr w:type="gramStart"/>
      <w:r>
        <w:rPr>
          <w:rFonts w:ascii="Arial" w:eastAsia="Arial" w:hAnsi="Arial" w:cs="Arial"/>
          <w:color w:val="auto"/>
          <w:sz w:val="24"/>
        </w:rPr>
        <w:t>a lo</w:t>
      </w:r>
      <w:proofErr w:type="gramEnd"/>
      <w:r>
        <w:rPr>
          <w:rFonts w:ascii="Arial" w:eastAsia="Arial" w:hAnsi="Arial" w:cs="Arial"/>
          <w:color w:val="auto"/>
          <w:sz w:val="24"/>
        </w:rPr>
        <w:t xml:space="preserve"> largo de esta etapa. </w:t>
      </w:r>
    </w:p>
    <w:p w:rsidR="005478C5" w:rsidRDefault="002A581C">
      <w:pPr>
        <w:spacing w:before="28" w:after="28" w:line="100" w:lineRule="atLeast"/>
        <w:ind w:firstLine="284"/>
        <w:jc w:val="both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 xml:space="preserve">La asimilación y aprendizaje significativo de la materia de música se apoyará en </w:t>
      </w:r>
      <w:proofErr w:type="gramStart"/>
      <w:r>
        <w:rPr>
          <w:rFonts w:ascii="Arial" w:eastAsia="Arial" w:hAnsi="Arial" w:cs="Arial"/>
          <w:color w:val="auto"/>
          <w:sz w:val="24"/>
        </w:rPr>
        <w:t>un</w:t>
      </w:r>
      <w:proofErr w:type="gramEnd"/>
      <w:r>
        <w:rPr>
          <w:rFonts w:ascii="Arial" w:eastAsia="Arial" w:hAnsi="Arial" w:cs="Arial"/>
          <w:color w:val="auto"/>
          <w:sz w:val="24"/>
        </w:rPr>
        <w:t xml:space="preserve"> aprendizaje activo y práctico de los contenidos, partiendo de lo más básico y natural para el alumnado como cantar, bailar, tocar o escuchar para llegar de forma progresiva y natural a otros contenidos mediante procesos de inducción y deducción. El conocimiento y práctica </w:t>
      </w:r>
      <w:proofErr w:type="gramStart"/>
      <w:r>
        <w:rPr>
          <w:rFonts w:ascii="Arial" w:eastAsia="Arial" w:hAnsi="Arial" w:cs="Arial"/>
          <w:color w:val="auto"/>
          <w:sz w:val="24"/>
        </w:rPr>
        <w:t>del</w:t>
      </w:r>
      <w:proofErr w:type="gramEnd"/>
      <w:r>
        <w:rPr>
          <w:rFonts w:ascii="Arial" w:eastAsia="Arial" w:hAnsi="Arial" w:cs="Arial"/>
          <w:color w:val="auto"/>
          <w:sz w:val="24"/>
        </w:rPr>
        <w:t xml:space="preserve"> lenguaje musical es muy importante para cualquier aprendizaje musical. La interiorización </w:t>
      </w:r>
      <w:proofErr w:type="gramStart"/>
      <w:r>
        <w:rPr>
          <w:rFonts w:ascii="Arial" w:eastAsia="Arial" w:hAnsi="Arial" w:cs="Arial"/>
          <w:color w:val="auto"/>
          <w:sz w:val="24"/>
        </w:rPr>
        <w:t>del</w:t>
      </w:r>
      <w:proofErr w:type="gramEnd"/>
      <w:r>
        <w:rPr>
          <w:rFonts w:ascii="Arial" w:eastAsia="Arial" w:hAnsi="Arial" w:cs="Arial"/>
          <w:color w:val="auto"/>
          <w:sz w:val="24"/>
        </w:rPr>
        <w:t xml:space="preserve"> pulso, la lectura y la discriminación rítmica y melódica serán la base de la mayor parte de las actividades. </w:t>
      </w:r>
    </w:p>
    <w:p w:rsidR="005478C5" w:rsidRDefault="002A581C">
      <w:pPr>
        <w:spacing w:before="28" w:after="28" w:line="100" w:lineRule="atLeast"/>
        <w:ind w:firstLine="284"/>
        <w:jc w:val="both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>Se plantearán actividades que impliquen distintos agrupamientos de los alumnos que interactúen y desempeñen funciones diferentes, guiados por la profesora.</w:t>
      </w:r>
    </w:p>
    <w:p w:rsidR="005478C5" w:rsidRDefault="002A581C">
      <w:pPr>
        <w:spacing w:before="28" w:after="28" w:line="100" w:lineRule="atLeast"/>
        <w:ind w:firstLine="284"/>
        <w:jc w:val="both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 xml:space="preserve">El repertorio musical se adecúa a las actividades a desarrollar teniendo en cuenta la </w:t>
      </w:r>
      <w:proofErr w:type="gramStart"/>
      <w:r>
        <w:rPr>
          <w:rFonts w:ascii="Arial" w:eastAsia="Arial" w:hAnsi="Arial" w:cs="Arial"/>
          <w:color w:val="auto"/>
          <w:sz w:val="24"/>
        </w:rPr>
        <w:t>edad  y</w:t>
      </w:r>
      <w:proofErr w:type="gramEnd"/>
      <w:r>
        <w:rPr>
          <w:rFonts w:ascii="Arial" w:eastAsia="Arial" w:hAnsi="Arial" w:cs="Arial"/>
          <w:color w:val="auto"/>
          <w:sz w:val="24"/>
        </w:rPr>
        <w:t xml:space="preserve"> madurez del alumno y una dificultad técnica gradual. </w:t>
      </w:r>
    </w:p>
    <w:p w:rsidR="005478C5" w:rsidRDefault="002A581C">
      <w:pPr>
        <w:spacing w:before="28" w:after="28" w:line="100" w:lineRule="atLeast"/>
        <w:ind w:firstLine="284"/>
        <w:jc w:val="both"/>
        <w:rPr>
          <w:rFonts w:ascii="Arial" w:eastAsia="Arial" w:hAnsi="Arial" w:cs="Arial"/>
          <w:b/>
          <w:bCs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>Por último, se planificarán actividades y se utilizarán recursos y soportes lo más variados posibles.</w:t>
      </w:r>
    </w:p>
    <w:p w:rsidR="005478C5" w:rsidRDefault="005478C5">
      <w:pPr>
        <w:spacing w:before="28" w:after="28" w:line="100" w:lineRule="atLeast"/>
        <w:ind w:firstLine="284"/>
        <w:jc w:val="both"/>
        <w:rPr>
          <w:rFonts w:ascii="Arial" w:eastAsia="Arial" w:hAnsi="Arial" w:cs="Arial"/>
          <w:b/>
          <w:bCs/>
          <w:color w:val="auto"/>
          <w:sz w:val="24"/>
        </w:rPr>
      </w:pPr>
    </w:p>
    <w:p w:rsidR="005478C5" w:rsidRDefault="002A581C">
      <w:pPr>
        <w:spacing w:before="28" w:after="28" w:line="100" w:lineRule="atLeast"/>
        <w:ind w:firstLine="284"/>
        <w:jc w:val="both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b/>
          <w:bCs/>
          <w:color w:val="auto"/>
          <w:sz w:val="24"/>
        </w:rPr>
        <w:t>CRITERIOS DE CALIFICACIÓN</w:t>
      </w:r>
    </w:p>
    <w:p w:rsidR="005478C5" w:rsidRDefault="005478C5">
      <w:pPr>
        <w:spacing w:before="28" w:after="28" w:line="100" w:lineRule="atLeast"/>
        <w:ind w:firstLine="284"/>
        <w:jc w:val="both"/>
        <w:rPr>
          <w:rFonts w:ascii="Arial" w:eastAsia="Arial" w:hAnsi="Arial" w:cs="Arial"/>
          <w:color w:val="auto"/>
          <w:sz w:val="24"/>
        </w:rPr>
      </w:pPr>
    </w:p>
    <w:p w:rsidR="005478C5" w:rsidRDefault="002A581C">
      <w:pPr>
        <w:pStyle w:val="Textoindependiente"/>
        <w:spacing w:before="28" w:after="28" w:line="100" w:lineRule="atLeast"/>
        <w:ind w:firstLine="284"/>
        <w:jc w:val="both"/>
        <w:rPr>
          <w:rFonts w:ascii="Symbol" w:hAnsi="Symbol"/>
          <w:sz w:val="24"/>
        </w:rPr>
      </w:pPr>
      <w:r>
        <w:rPr>
          <w:rFonts w:ascii="Symbol" w:eastAsia="Arial" w:hAnsi="Symbol" w:cs="Arial"/>
          <w:color w:val="auto"/>
          <w:sz w:val="24"/>
        </w:rPr>
        <w:t></w:t>
      </w:r>
      <w:r>
        <w:rPr>
          <w:rFonts w:ascii="Symbol" w:eastAsia="Arial" w:hAnsi="Symbol" w:cs="Arial"/>
          <w:color w:val="auto"/>
          <w:sz w:val="24"/>
        </w:rPr>
        <w:t></w:t>
      </w:r>
      <w:r>
        <w:rPr>
          <w:rFonts w:ascii="Symbol" w:eastAsia="Arial" w:hAnsi="Symbol" w:cs="Arial"/>
          <w:color w:val="auto"/>
          <w:sz w:val="24"/>
        </w:rPr>
        <w:t></w:t>
      </w:r>
      <w:r>
        <w:rPr>
          <w:rFonts w:ascii="Symbol" w:eastAsia="Arial" w:hAnsi="Symbol" w:cs="Arial"/>
          <w:color w:val="auto"/>
          <w:sz w:val="24"/>
        </w:rPr>
        <w:t></w:t>
      </w:r>
      <w:r>
        <w:rPr>
          <w:rFonts w:ascii="Symbol" w:eastAsia="Arial" w:hAnsi="Symbol" w:cs="Arial"/>
          <w:color w:val="auto"/>
          <w:sz w:val="24"/>
        </w:rPr>
        <w:t></w:t>
      </w:r>
      <w:r>
        <w:rPr>
          <w:rFonts w:ascii="Symbol" w:eastAsia="Arial" w:hAnsi="Symbol" w:cs="Arial"/>
          <w:color w:val="auto"/>
          <w:sz w:val="24"/>
        </w:rPr>
        <w:t></w:t>
      </w:r>
      <w:r>
        <w:rPr>
          <w:rFonts w:ascii="Symbol" w:eastAsia="Arial" w:hAnsi="Symbol" w:cs="Arial"/>
          <w:color w:val="auto"/>
          <w:sz w:val="24"/>
        </w:rPr>
        <w:t></w:t>
      </w:r>
      <w:r>
        <w:rPr>
          <w:rFonts w:ascii="Symbol" w:eastAsia="Arial" w:hAnsi="Symbol" w:cs="Arial"/>
          <w:color w:val="auto"/>
          <w:sz w:val="24"/>
        </w:rPr>
        <w:t></w:t>
      </w:r>
      <w:r>
        <w:rPr>
          <w:rFonts w:ascii="Symbol" w:eastAsia="Arial" w:hAnsi="Symbol" w:cs="Arial"/>
          <w:color w:val="auto"/>
          <w:sz w:val="24"/>
        </w:rPr>
        <w:t></w:t>
      </w:r>
      <w:r>
        <w:rPr>
          <w:rFonts w:ascii="Symbol" w:eastAsia="Arial" w:hAnsi="Symbol" w:cs="Arial"/>
          <w:color w:val="auto"/>
          <w:sz w:val="24"/>
        </w:rPr>
        <w:t></w:t>
      </w:r>
      <w:r>
        <w:rPr>
          <w:rFonts w:ascii="Symbol" w:eastAsia="Arial" w:hAnsi="Symbol" w:cs="Arial"/>
          <w:color w:val="auto"/>
          <w:sz w:val="24"/>
        </w:rPr>
        <w:t></w:t>
      </w:r>
      <w:r>
        <w:rPr>
          <w:rFonts w:ascii="Symbol" w:eastAsia="Arial" w:hAnsi="Symbol" w:cs="Arial"/>
          <w:color w:val="auto"/>
          <w:sz w:val="24"/>
        </w:rPr>
        <w:t></w:t>
      </w:r>
      <w:r>
        <w:rPr>
          <w:rFonts w:ascii="Symbol" w:eastAsia="Arial" w:hAnsi="Symbol" w:cs="Arial"/>
          <w:color w:val="auto"/>
          <w:sz w:val="24"/>
        </w:rPr>
        <w:tab/>
      </w:r>
      <w:r>
        <w:rPr>
          <w:rFonts w:ascii="Symbol" w:eastAsia="Arial" w:hAnsi="Symbol" w:cs="Arial"/>
          <w:color w:val="auto"/>
          <w:sz w:val="24"/>
        </w:rPr>
        <w:t></w:t>
      </w:r>
      <w:r>
        <w:rPr>
          <w:rFonts w:ascii="Symbol" w:eastAsia="Arial" w:hAnsi="Symbol" w:cs="Arial"/>
          <w:color w:val="auto"/>
          <w:sz w:val="24"/>
        </w:rPr>
        <w:t></w:t>
      </w:r>
      <w:r>
        <w:rPr>
          <w:rFonts w:ascii="Symbol" w:eastAsia="Arial" w:hAnsi="Symbol" w:cs="Arial"/>
          <w:color w:val="auto"/>
          <w:sz w:val="24"/>
        </w:rPr>
        <w:t></w:t>
      </w:r>
      <w:r>
        <w:rPr>
          <w:rFonts w:ascii="Symbol" w:eastAsia="Arial" w:hAnsi="Symbol" w:cs="Arial"/>
          <w:color w:val="auto"/>
          <w:sz w:val="24"/>
        </w:rPr>
        <w:t></w:t>
      </w:r>
      <w:r>
        <w:rPr>
          <w:rFonts w:ascii="Symbol" w:eastAsia="Arial" w:hAnsi="Symbol" w:cs="Arial"/>
          <w:color w:val="auto"/>
          <w:sz w:val="24"/>
        </w:rPr>
        <w:t></w:t>
      </w:r>
      <w:r>
        <w:rPr>
          <w:rFonts w:ascii="Arial" w:eastAsia="Arial" w:hAnsi="Arial" w:cs="Arial"/>
          <w:color w:val="auto"/>
          <w:sz w:val="24"/>
        </w:rPr>
        <w:t>Pruebas escritas                                     </w:t>
      </w:r>
      <w:r w:rsidR="009A6F96">
        <w:rPr>
          <w:rFonts w:ascii="Arial" w:eastAsia="Arial" w:hAnsi="Arial" w:cs="Arial"/>
          <w:color w:val="auto"/>
          <w:sz w:val="24"/>
        </w:rPr>
        <w:t>                    4</w:t>
      </w:r>
      <w:r>
        <w:rPr>
          <w:rFonts w:ascii="Arial" w:eastAsia="Arial" w:hAnsi="Arial" w:cs="Arial"/>
          <w:color w:val="auto"/>
          <w:sz w:val="24"/>
        </w:rPr>
        <w:t>0%</w:t>
      </w:r>
    </w:p>
    <w:p w:rsidR="005478C5" w:rsidRDefault="002A581C">
      <w:pPr>
        <w:pStyle w:val="Textoindependiente"/>
        <w:spacing w:after="0" w:line="360" w:lineRule="auto"/>
        <w:ind w:left="644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</w:t>
      </w:r>
      <w:r>
        <w:rPr>
          <w:rFonts w:ascii="Arial" w:hAnsi="Arial"/>
          <w:sz w:val="24"/>
        </w:rPr>
        <w:t>Prácticas musicales                                                         30%</w:t>
      </w:r>
    </w:p>
    <w:p w:rsidR="005478C5" w:rsidRDefault="002A581C">
      <w:pPr>
        <w:pStyle w:val="Textoindependiente"/>
        <w:spacing w:after="0" w:line="360" w:lineRule="auto"/>
        <w:ind w:left="644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</w:t>
      </w:r>
      <w:r>
        <w:rPr>
          <w:rFonts w:ascii="Arial" w:hAnsi="Arial"/>
          <w:sz w:val="24"/>
        </w:rPr>
        <w:t>Cuaderno, actividades, trabajos                                       20%</w:t>
      </w:r>
    </w:p>
    <w:p w:rsidR="005478C5" w:rsidRDefault="002A581C" w:rsidP="009A6F96">
      <w:pPr>
        <w:pStyle w:val="Textoindependiente"/>
        <w:spacing w:after="0" w:line="360" w:lineRule="auto"/>
        <w:ind w:left="644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</w:t>
      </w:r>
      <w:r>
        <w:rPr>
          <w:rFonts w:ascii="Symbol" w:hAnsi="Symbol"/>
          <w:sz w:val="24"/>
        </w:rPr>
        <w:t></w:t>
      </w:r>
      <w:r>
        <w:rPr>
          <w:rFonts w:ascii="Arial" w:hAnsi="Arial"/>
          <w:sz w:val="24"/>
        </w:rPr>
        <w:t xml:space="preserve">Actitud, puntualidad                                                         </w:t>
      </w:r>
      <w:r w:rsidR="009A6F9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10%</w:t>
      </w:r>
    </w:p>
    <w:p w:rsidR="009A6F96" w:rsidRPr="009A6F96" w:rsidRDefault="009A6F96" w:rsidP="009A6F96">
      <w:pPr>
        <w:pStyle w:val="Textoindependiente"/>
        <w:spacing w:after="0" w:line="360" w:lineRule="auto"/>
        <w:ind w:left="644"/>
        <w:rPr>
          <w:rFonts w:ascii="Symbol" w:hAnsi="Symbol"/>
          <w:sz w:val="24"/>
        </w:rPr>
      </w:pPr>
    </w:p>
    <w:p w:rsidR="005478C5" w:rsidRDefault="002A581C">
      <w:pPr>
        <w:pStyle w:val="Textoindependiente"/>
        <w:spacing w:before="120" w:after="0" w:line="360" w:lineRule="auto"/>
        <w:rPr>
          <w:rFonts w:ascii="Arial" w:hAnsi="Arial"/>
          <w:sz w:val="24"/>
          <w:u w:val="single"/>
        </w:rPr>
      </w:pPr>
      <w:r>
        <w:t> </w:t>
      </w:r>
      <w:r>
        <w:rPr>
          <w:rFonts w:ascii="Arial" w:hAnsi="Arial"/>
          <w:sz w:val="24"/>
          <w:u w:val="single"/>
        </w:rPr>
        <w:t>Pruebas teóricas</w:t>
      </w:r>
      <w:r>
        <w:rPr>
          <w:rFonts w:ascii="Arial" w:hAnsi="Arial"/>
          <w:sz w:val="24"/>
        </w:rPr>
        <w:t xml:space="preserve">: Tareas y pruebas de tipo teórico y conceptual. Se desarrollarán de manera escrita u oral. En principio, si el desarrollo </w:t>
      </w:r>
      <w:proofErr w:type="gramStart"/>
      <w:r>
        <w:rPr>
          <w:rFonts w:ascii="Arial" w:hAnsi="Arial"/>
          <w:sz w:val="24"/>
        </w:rPr>
        <w:t>del</w:t>
      </w:r>
      <w:proofErr w:type="gramEnd"/>
      <w:r>
        <w:rPr>
          <w:rFonts w:ascii="Arial" w:hAnsi="Arial"/>
          <w:sz w:val="24"/>
        </w:rPr>
        <w:t xml:space="preserve"> grupo lo permite, se realizarán dos pruebas de este tipo en cada evaluación.</w:t>
      </w:r>
    </w:p>
    <w:p w:rsidR="005478C5" w:rsidRDefault="002A581C">
      <w:pPr>
        <w:pStyle w:val="Textoindependiente"/>
        <w:spacing w:before="280" w:line="360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Notas de las prácticas</w:t>
      </w:r>
      <w:r>
        <w:rPr>
          <w:rFonts w:ascii="Arial" w:hAnsi="Arial"/>
          <w:sz w:val="24"/>
        </w:rPr>
        <w:t>: Se tomarán notas de clase a lo largo de las sesiones de cada evaluación, de las intervenciones colectivas o individuales de la práctica vocal,</w:t>
      </w:r>
      <w:proofErr w:type="gramStart"/>
      <w:r>
        <w:rPr>
          <w:rFonts w:ascii="Arial" w:hAnsi="Arial"/>
          <w:sz w:val="24"/>
        </w:rPr>
        <w:t>  instrumental</w:t>
      </w:r>
      <w:proofErr w:type="gramEnd"/>
      <w:r>
        <w:rPr>
          <w:rFonts w:ascii="Arial" w:hAnsi="Arial"/>
          <w:sz w:val="24"/>
        </w:rPr>
        <w:t xml:space="preserve"> y de movimiento.</w:t>
      </w:r>
    </w:p>
    <w:p w:rsidR="005478C5" w:rsidRPr="009A6F96" w:rsidRDefault="002A581C" w:rsidP="009A6F96">
      <w:pPr>
        <w:pStyle w:val="Textoindependiente"/>
        <w:spacing w:before="280" w:line="360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Procedimientos y Actitud</w:t>
      </w:r>
      <w:r>
        <w:rPr>
          <w:rFonts w:ascii="Arial" w:hAnsi="Arial"/>
          <w:sz w:val="24"/>
        </w:rPr>
        <w:t xml:space="preserve">: Tener el cuaderno de la asignatura completo y bien presentado, realizar trabajo diario y ensayo en casa, actividades y trabajos trimestrales realizados y entregados en su fecha, participación activa, actitud de cooperación con el grupo y responsabilidad personal, puntualidad. </w:t>
      </w:r>
    </w:p>
    <w:p w:rsidR="005478C5" w:rsidRDefault="002A581C">
      <w:pPr>
        <w:pStyle w:val="Textoindependiente"/>
        <w:spacing w:before="280" w:line="360" w:lineRule="auto"/>
      </w:pPr>
      <w:r>
        <w:rPr>
          <w:rFonts w:ascii="Arial" w:hAnsi="Arial"/>
          <w:sz w:val="24"/>
        </w:rPr>
        <w:t>Observaciones: La nota final en cada evaluación será</w:t>
      </w:r>
      <w:proofErr w:type="gramStart"/>
      <w:r>
        <w:rPr>
          <w:rFonts w:ascii="Arial" w:hAnsi="Arial"/>
          <w:sz w:val="24"/>
        </w:rPr>
        <w:t>  la</w:t>
      </w:r>
      <w:proofErr w:type="gramEnd"/>
      <w:r>
        <w:rPr>
          <w:rFonts w:ascii="Arial" w:hAnsi="Arial"/>
          <w:sz w:val="24"/>
        </w:rPr>
        <w:t xml:space="preserve"> media ponderada de las cinco calificaciones, siendo el cinco la nota mínima para aprobar la asignatura. La nota final de la asignatura se obtendrá compensando positivamente el grado de progreso </w:t>
      </w:r>
      <w:proofErr w:type="gramStart"/>
      <w:r>
        <w:rPr>
          <w:rFonts w:ascii="Arial" w:hAnsi="Arial"/>
          <w:sz w:val="24"/>
        </w:rPr>
        <w:t>del</w:t>
      </w:r>
      <w:proofErr w:type="gramEnd"/>
      <w:r>
        <w:rPr>
          <w:rFonts w:ascii="Arial" w:hAnsi="Arial"/>
          <w:sz w:val="24"/>
        </w:rPr>
        <w:t xml:space="preserve"> alumno desde el inicio del curso.</w:t>
      </w:r>
    </w:p>
    <w:p w:rsidR="005478C5" w:rsidRDefault="002A581C">
      <w:pPr>
        <w:pStyle w:val="Textoindependiente"/>
        <w:spacing w:before="280" w:line="360" w:lineRule="auto"/>
        <w:ind w:firstLine="284"/>
        <w:rPr>
          <w:rFonts w:ascii="Arial" w:hAnsi="Arial"/>
          <w:sz w:val="24"/>
        </w:rPr>
      </w:pPr>
      <w:r>
        <w:t> </w:t>
      </w:r>
      <w:r>
        <w:rPr>
          <w:rFonts w:ascii="Arial" w:hAnsi="Arial"/>
          <w:b/>
          <w:sz w:val="24"/>
        </w:rPr>
        <w:t>Recuperación de evaluaciones pendientes</w:t>
      </w:r>
    </w:p>
    <w:p w:rsidR="005478C5" w:rsidRDefault="002A581C">
      <w:pPr>
        <w:pStyle w:val="Textoindependiente"/>
        <w:spacing w:before="280" w:line="360" w:lineRule="auto"/>
        <w:ind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La parte práctica se entenderá como un continuo, de manera que si se suspende una evaluación y se aprueba la siguiente, se recupera automáticamente</w:t>
      </w:r>
      <w:proofErr w:type="gramStart"/>
      <w:r>
        <w:rPr>
          <w:rFonts w:ascii="Arial" w:hAnsi="Arial"/>
          <w:sz w:val="24"/>
        </w:rPr>
        <w:t>  la</w:t>
      </w:r>
      <w:proofErr w:type="gramEnd"/>
      <w:r>
        <w:rPr>
          <w:rFonts w:ascii="Arial" w:hAnsi="Arial"/>
          <w:sz w:val="24"/>
        </w:rPr>
        <w:t xml:space="preserve"> anterior.</w:t>
      </w:r>
    </w:p>
    <w:p w:rsidR="005478C5" w:rsidRDefault="002A581C">
      <w:pPr>
        <w:pStyle w:val="Textoindependiente"/>
        <w:spacing w:before="280" w:line="360" w:lineRule="auto"/>
        <w:ind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cuanto a los conceptos más teóricos, se realizarán ejercicios de refuerzo y </w:t>
      </w:r>
      <w:proofErr w:type="gramStart"/>
      <w:r>
        <w:rPr>
          <w:rFonts w:ascii="Arial" w:hAnsi="Arial"/>
          <w:sz w:val="24"/>
        </w:rPr>
        <w:t>un</w:t>
      </w:r>
      <w:proofErr w:type="gramEnd"/>
      <w:r>
        <w:rPr>
          <w:rFonts w:ascii="Arial" w:hAnsi="Arial"/>
          <w:sz w:val="24"/>
        </w:rPr>
        <w:t xml:space="preserve"> examen de recuperación del trimestre.</w:t>
      </w:r>
    </w:p>
    <w:p w:rsidR="005478C5" w:rsidRDefault="002A581C">
      <w:pPr>
        <w:pStyle w:val="Textoindependiente"/>
        <w:spacing w:before="280" w:line="360" w:lineRule="auto"/>
        <w:ind w:firstLine="284"/>
      </w:pPr>
      <w:r>
        <w:rPr>
          <w:rFonts w:ascii="Arial" w:hAnsi="Arial"/>
          <w:sz w:val="24"/>
        </w:rPr>
        <w:t xml:space="preserve">Si a final de curso   la nota media </w:t>
      </w:r>
      <w:proofErr w:type="gramStart"/>
      <w:r>
        <w:rPr>
          <w:rFonts w:ascii="Arial" w:hAnsi="Arial"/>
          <w:sz w:val="24"/>
        </w:rPr>
        <w:t>del</w:t>
      </w:r>
      <w:proofErr w:type="gramEnd"/>
      <w:r>
        <w:rPr>
          <w:rFonts w:ascii="Arial" w:hAnsi="Arial"/>
          <w:sz w:val="24"/>
        </w:rPr>
        <w:t xml:space="preserve"> alumno no alcanza el cinco, la asignatura tendrá que ser recuperada de forma global en la convocatoria extraordinaria de Septiembre.</w:t>
      </w:r>
    </w:p>
    <w:p w:rsidR="005478C5" w:rsidRDefault="002A581C">
      <w:pPr>
        <w:pStyle w:val="Textoindependiente"/>
        <w:spacing w:before="280" w:line="360" w:lineRule="auto"/>
        <w:ind w:firstLine="284"/>
        <w:rPr>
          <w:rFonts w:ascii="Arial" w:eastAsia="Arial" w:hAnsi="Arial" w:cs="Arial"/>
          <w:color w:val="auto"/>
          <w:sz w:val="24"/>
        </w:rPr>
      </w:pPr>
      <w:r>
        <w:t> </w:t>
      </w:r>
      <w:r>
        <w:rPr>
          <w:rFonts w:ascii="Arial" w:hAnsi="Arial"/>
          <w:b/>
          <w:sz w:val="24"/>
          <w:u w:val="single"/>
          <w:lang w:val="es-ES"/>
        </w:rPr>
        <w:t>NOTA</w:t>
      </w:r>
      <w:proofErr w:type="gramStart"/>
      <w:r>
        <w:rPr>
          <w:rFonts w:ascii="Arial" w:hAnsi="Arial"/>
          <w:b/>
          <w:sz w:val="24"/>
          <w:u w:val="single"/>
          <w:lang w:val="es-ES"/>
        </w:rPr>
        <w:t xml:space="preserve">: </w:t>
      </w:r>
      <w:r>
        <w:t> </w:t>
      </w:r>
      <w:r>
        <w:rPr>
          <w:rFonts w:ascii="Arial" w:hAnsi="Arial"/>
          <w:sz w:val="24"/>
          <w:lang w:val="es-ES"/>
        </w:rPr>
        <w:t>La</w:t>
      </w:r>
      <w:proofErr w:type="gramEnd"/>
      <w:r>
        <w:rPr>
          <w:rFonts w:ascii="Arial" w:hAnsi="Arial"/>
          <w:sz w:val="24"/>
          <w:lang w:val="es-ES"/>
        </w:rPr>
        <w:t xml:space="preserve"> Programación anual de la asignatura está a disposición de toda la comunidad educativa, pudiendo solicitarse en Jefatura de Estudios o en el Aula  de Música.</w:t>
      </w:r>
    </w:p>
    <w:p w:rsidR="005478C5" w:rsidRDefault="005478C5">
      <w:pPr>
        <w:spacing w:before="28" w:after="28" w:line="100" w:lineRule="atLeast"/>
        <w:ind w:firstLine="284"/>
        <w:jc w:val="both"/>
        <w:rPr>
          <w:rFonts w:ascii="Arial" w:eastAsia="Arial" w:hAnsi="Arial" w:cs="Arial"/>
          <w:color w:val="auto"/>
          <w:sz w:val="24"/>
        </w:rPr>
      </w:pPr>
      <w:bookmarkStart w:id="0" w:name="_GoBack"/>
      <w:bookmarkEnd w:id="0"/>
    </w:p>
    <w:sectPr w:rsidR="005478C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kern w:val="1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81C"/>
    <w:rsid w:val="002A581C"/>
    <w:rsid w:val="005478C5"/>
    <w:rsid w:val="009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936EFE-5B4B-4E8A-8FCC-4C668FBF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">
    <w:name w:val="Body Text"/>
    <w:basedOn w:val="Normal"/>
    <w:pPr>
      <w:spacing w:after="283"/>
    </w:pPr>
  </w:style>
  <w:style w:type="paragraph" w:styleId="Sinespaciado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2589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Bejarano</dc:creator>
  <cp:keywords/>
  <cp:lastModifiedBy>David Bejarano</cp:lastModifiedBy>
  <cp:revision>3</cp:revision>
  <cp:lastPrinted>1899-12-31T23:00:00Z</cp:lastPrinted>
  <dcterms:created xsi:type="dcterms:W3CDTF">2017-11-19T19:13:00Z</dcterms:created>
  <dcterms:modified xsi:type="dcterms:W3CDTF">2017-11-19T19:16:00Z</dcterms:modified>
</cp:coreProperties>
</file>