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 ASIGNATURA:   PSICOLOGÍA</w:t>
            </w:r>
          </w:p>
          <w:p>
            <w:pPr>
              <w:pStyle w:val="Normal1"/>
              <w:keepNext w:val="true"/>
              <w:jc w:val="center"/>
              <w:rPr/>
            </w:pPr>
            <w:r>
              <w:rPr>
                <w:rFonts w:eastAsia="Bookman Old Style" w:cs="Bookman Old Style" w:ascii="Bookman Old Style" w:hAnsi="Bookman Old Style"/>
                <w:b/>
                <w:color w:val="000000"/>
                <w:sz w:val="20"/>
                <w:szCs w:val="20"/>
              </w:rPr>
              <w:t>CURSO: 2º DE BACHILLERATO 2021-22</w:t>
            </w:r>
          </w:p>
          <w:p>
            <w:pPr>
              <w:pStyle w:val="Normal1"/>
              <w:jc w:val="center"/>
              <w:rPr/>
            </w:pPr>
            <w:r>
              <w:rPr>
                <w:rFonts w:eastAsia="Bookman Old Style" w:cs="Bookman Old Style" w:ascii="Bookman Old Style" w:hAnsi="Bookman Old Style"/>
                <w:b/>
                <w:color w:val="000000"/>
                <w:sz w:val="20"/>
                <w:szCs w:val="20"/>
              </w:rPr>
              <w:t>Orden del 15 de enero de 2021. Decreto 183</w:t>
            </w:r>
          </w:p>
          <w:p>
            <w:pPr>
              <w:pStyle w:val="Normal1"/>
              <w:keepNext w:val="true"/>
              <w:jc w:val="center"/>
              <w:rPr>
                <w:rFonts w:ascii="Bookman Old Style" w:hAnsi="Bookman Old Style" w:cs="Tahoma"/>
                <w:b/>
                <w:b/>
                <w:sz w:val="20"/>
                <w:szCs w:val="20"/>
              </w:rPr>
            </w:pPr>
            <w:r>
              <w:rPr>
                <w:rFonts w:cs="Tahoma" w:ascii="Bookman Old Style" w:hAnsi="Bookman Old Style"/>
                <w:b/>
                <w:sz w:val="20"/>
                <w:szCs w:val="20"/>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pPr>
            <w:r>
              <w:rPr>
                <w:rFonts w:eastAsia="Bookman Old Style" w:cs="Bookman Old Style" w:ascii="Bookman Old Style" w:hAnsi="Bookman Old Style"/>
                <w:b/>
                <w:sz w:val="20"/>
                <w:szCs w:val="20"/>
              </w:rPr>
              <w:t xml:space="preserve">OBJETIVOS: 1,2, 3, 4, 5, 6 </w:t>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COMPETENCIAS CLAVE: CCL, CMCT, CD, CAA, CSC, SIEP, CEC</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rFonts w:ascii="Bookman Old Style" w:hAnsi="Bookman Old Style"/>
                <w:b/>
                <w:b/>
                <w:sz w:val="20"/>
              </w:rPr>
            </w:pPr>
            <w:r>
              <w:rPr>
                <w:rFonts w:eastAsia="Bookman Old Style" w:cs="Bookman Old Style" w:ascii="Bookman Old Style" w:hAnsi="Bookman Old Style"/>
                <w:b/>
                <w:sz w:val="20"/>
              </w:rPr>
              <w:t xml:space="preserve">1ª EVALUACIÓN: </w:t>
            </w:r>
          </w:p>
          <w:p>
            <w:pPr>
              <w:pStyle w:val="Normal1"/>
              <w:rPr/>
            </w:pPr>
            <w:r>
              <w:rPr>
                <w:rFonts w:cs="Arial" w:ascii="Bookman Old Style" w:hAnsi="Bookman Old Style"/>
                <w:color w:val="000000"/>
                <w:sz w:val="20"/>
              </w:rPr>
              <w:t>Bloque I</w:t>
            </w:r>
            <w:r>
              <w:rPr>
                <w:rFonts w:eastAsia="Bookman Old Style" w:cs="Bookman Old Style" w:ascii="Bookman Old Style" w:hAnsi="Bookman Old Style"/>
                <w:b/>
                <w:sz w:val="20"/>
              </w:rPr>
              <w:t>: La psicología como ciencia</w:t>
            </w:r>
          </w:p>
          <w:p>
            <w:pPr>
              <w:pStyle w:val="Normal1"/>
              <w:rPr/>
            </w:pPr>
            <w:r>
              <w:rPr>
                <w:rFonts w:cs="Arial" w:ascii="Bookman Old Style" w:hAnsi="Bookman Old Style"/>
                <w:color w:val="000000"/>
                <w:sz w:val="20"/>
              </w:rPr>
              <w:t xml:space="preserve">Bloque II: </w:t>
            </w:r>
            <w:r>
              <w:rPr>
                <w:rFonts w:cs="Arial" w:ascii="Bookman Old Style" w:hAnsi="Bookman Old Style"/>
                <w:b/>
                <w:bCs/>
                <w:color w:val="000000"/>
                <w:sz w:val="20"/>
              </w:rPr>
              <w:t>Fundamentos biológicos de la conducta</w:t>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2ª EVALUACIÓN:</w:t>
            </w:r>
            <w:r>
              <w:rPr>
                <w:rFonts w:ascii="Bookman Old Style" w:hAnsi="Bookman Old Style"/>
                <w:b/>
                <w:sz w:val="20"/>
                <w:szCs w:val="20"/>
              </w:rPr>
              <w:t xml:space="preserve"> </w:t>
            </w:r>
          </w:p>
          <w:p>
            <w:pPr>
              <w:pStyle w:val="Normal1"/>
              <w:rPr/>
            </w:pPr>
            <w:r>
              <w:rPr>
                <w:rFonts w:cs="Arial" w:ascii="Bookman Old Style" w:hAnsi="Bookman Old Style"/>
                <w:color w:val="000000"/>
                <w:sz w:val="20"/>
              </w:rPr>
              <w:t xml:space="preserve">Bloque III: </w:t>
            </w:r>
            <w:r>
              <w:rPr>
                <w:rFonts w:cs="Arial" w:ascii="Bookman Old Style" w:hAnsi="Bookman Old Style"/>
                <w:b/>
                <w:bCs/>
                <w:color w:val="000000"/>
                <w:sz w:val="20"/>
              </w:rPr>
              <w:t>Los procesos cognitivos básicos: percepción, sensación y memoria.</w:t>
            </w:r>
          </w:p>
          <w:p>
            <w:pPr>
              <w:pStyle w:val="Normal1"/>
              <w:rPr/>
            </w:pPr>
            <w:r>
              <w:rPr>
                <w:rFonts w:cs="Arial" w:ascii="Bookman Old Style" w:hAnsi="Bookman Old Style"/>
                <w:color w:val="000000"/>
                <w:sz w:val="20"/>
              </w:rPr>
              <w:t xml:space="preserve">Bloque IV: </w:t>
            </w:r>
            <w:r>
              <w:rPr>
                <w:rFonts w:cs="Arial" w:ascii="Bookman Old Style" w:hAnsi="Bookman Old Style"/>
                <w:b/>
                <w:bCs/>
                <w:color w:val="000000"/>
                <w:sz w:val="20"/>
              </w:rPr>
              <w:t>Procesos cognitivos superiores: aprendizaje, inteligencia y pensamiento.</w:t>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3ª EVALU</w:t>
            </w:r>
            <w:r>
              <w:rPr>
                <w:rFonts w:eastAsia="Bookman Old Style" w:cs="Bookman Old Style" w:ascii="Bookman Old Style" w:hAnsi="Bookman Old Style"/>
                <w:b/>
                <w:bCs/>
                <w:sz w:val="20"/>
                <w:szCs w:val="20"/>
              </w:rPr>
              <w:t>ACIÓN:</w:t>
            </w:r>
            <w:r>
              <w:rPr>
                <w:rFonts w:ascii="Bookman Old Style" w:hAnsi="Bookman Old Style"/>
                <w:b/>
                <w:bCs/>
                <w:sz w:val="20"/>
                <w:szCs w:val="20"/>
              </w:rPr>
              <w:t xml:space="preserve"> </w:t>
            </w:r>
          </w:p>
          <w:p>
            <w:pPr>
              <w:pStyle w:val="Normal1"/>
              <w:jc w:val="both"/>
              <w:rPr/>
            </w:pPr>
            <w:r>
              <w:rPr>
                <w:rFonts w:ascii="Bookman Old Style" w:hAnsi="Bookman Old Style"/>
                <w:b w:val="false"/>
                <w:bCs w:val="false"/>
                <w:sz w:val="20"/>
                <w:szCs w:val="20"/>
              </w:rPr>
              <w:t>Bloque V:</w:t>
            </w:r>
            <w:r>
              <w:rPr>
                <w:rFonts w:ascii="Bookman Old Style" w:hAnsi="Bookman Old Style"/>
                <w:b/>
                <w:bCs/>
                <w:sz w:val="20"/>
                <w:szCs w:val="20"/>
              </w:rPr>
              <w:t xml:space="preserve"> La construcción del ser humano.</w:t>
            </w:r>
          </w:p>
          <w:p>
            <w:pPr>
              <w:pStyle w:val="Normal1"/>
              <w:jc w:val="both"/>
              <w:rPr/>
            </w:pPr>
            <w:r>
              <w:rPr>
                <w:rFonts w:cs="Arial" w:ascii="Bookman Old Style" w:hAnsi="Bookman Old Style"/>
                <w:color w:val="000000"/>
                <w:sz w:val="20"/>
              </w:rPr>
              <w:t xml:space="preserve">Bloque VI: </w:t>
            </w:r>
            <w:r>
              <w:rPr>
                <w:rFonts w:cs="Arial" w:ascii="Bookman Old Style" w:hAnsi="Bookman Old Style"/>
                <w:b/>
                <w:bCs/>
                <w:color w:val="000000"/>
                <w:sz w:val="20"/>
              </w:rPr>
              <w:t>Psicología social y de las organizaciones</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sz w:val="20"/>
                <w:lang w:val="es-MX" w:eastAsia="zh-CN" w:bidi="ar"/>
              </w:rPr>
              <w:t>-Interpretación exhaustiva de los diversos autores y corrientes con el fin de propiciar la aprehensión de los contenidos.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sz w:val="20"/>
                <w:lang w:val="es-MX" w:eastAsia="zh-CN" w:bidi="ar"/>
              </w:rPr>
              <w:t>-Uso de la plataforma moodle para la realización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b/>
                <w:sz w:val="20"/>
                <w:lang w:val="es-MX" w:eastAsia="zh-CN" w:bidi="ar"/>
              </w:rPr>
            </w:pPr>
            <w:r>
              <w:rPr>
                <w:rFonts w:eastAsia="TimesNewRomanPS-BoldMT" w:cs="TimesNewRomanPS-BoldMT" w:ascii="Bookman Old Style" w:hAnsi="Bookman Old Style"/>
                <w:b/>
                <w:sz w:val="20"/>
                <w:lang w:val="es-MX" w:eastAsia="zh-CN" w:bidi="ar"/>
              </w:rPr>
            </w:r>
          </w:p>
          <w:p>
            <w:pPr>
              <w:pStyle w:val="Normal1"/>
              <w:jc w:val="both"/>
              <w:rPr/>
            </w:pPr>
            <w:r>
              <w:rPr>
                <w:rFonts w:eastAsia="TimesNewRomanPS-BoldMT" w:cs="TimesNewRomanPS-BoldMT" w:ascii="Bookman Old Style" w:hAnsi="Bookman Old Style"/>
                <w:b/>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pPr>
            <w:r>
              <w:rPr>
                <w:rFonts w:eastAsia="TimesNewRomanPS-BoldMT" w:cs="TimesNewRomanPS-BoldMT" w:ascii="Bookman Old Style" w:hAnsi="Bookman Old Style"/>
                <w:b/>
                <w:sz w:val="20"/>
                <w:szCs w:val="20"/>
                <w:lang w:bidi="ar"/>
              </w:rPr>
              <w:t>Ante este supuesto los exámenes se realizarán a través de la plataforma moodle de diurno.</w:t>
            </w:r>
          </w:p>
          <w:p>
            <w:pPr>
              <w:pStyle w:val="Normal1"/>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sz w:val="20"/>
                <w:szCs w:val="20"/>
                <w:lang w:val="es-MX" w:eastAsia="zh-CN" w:bidi="ar"/>
              </w:rPr>
              <w:t>Esta hipótesis abre la posibilidad de incrementar el número de tareas a elaborar por parte del alumnado.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La Psicología como ciencia </w:t>
            </w:r>
            <w:r>
              <w:rPr>
                <w:rFonts w:cs="Arial" w:ascii="Bookman Old Style" w:hAnsi="Bookman Old Style"/>
                <w:color w:val="000000"/>
                <w:sz w:val="20"/>
              </w:rPr>
              <w:t>Criterios de Evaluación1,2,3.4.</w:t>
            </w:r>
          </w:p>
          <w:p>
            <w:pPr>
              <w:pStyle w:val="Normal1"/>
              <w:jc w:val="both"/>
              <w:rPr/>
            </w:pPr>
            <w:r>
              <w:rPr>
                <w:rFonts w:ascii="Bookman Old Style" w:hAnsi="Bookman Old Style"/>
                <w:color w:val="000000"/>
                <w:sz w:val="20"/>
              </w:rPr>
              <w:t>Bloque. II</w:t>
            </w:r>
            <w:r>
              <w:rPr>
                <w:rFonts w:eastAsia="Bookman Old Style" w:cs="Bookman Old Style" w:ascii="Bookman Old Style" w:hAnsi="Bookman Old Style"/>
                <w:b/>
                <w:sz w:val="20"/>
                <w:szCs w:val="20"/>
              </w:rPr>
              <w:t>.</w:t>
            </w:r>
            <w:r>
              <w:rPr>
                <w:rFonts w:eastAsia="Times New Roman" w:cs="Bookman Old Style" w:ascii="Bookman Old Style" w:hAnsi="Bookman Old Style"/>
                <w:b/>
                <w:color w:val="000000"/>
                <w:sz w:val="20"/>
                <w:szCs w:val="20"/>
              </w:rPr>
              <w:t xml:space="preserve">Fundamentos biológicos de la conducta. </w:t>
            </w:r>
            <w:r>
              <w:rPr>
                <w:rFonts w:ascii="Bookman Old Style" w:hAnsi="Bookman Old Style"/>
                <w:color w:val="000000"/>
                <w:sz w:val="20"/>
              </w:rPr>
              <w:t>Criterios de Evaluación: 1,2,3,4,5.</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pPr>
            <w:r>
              <w:rPr>
                <w:rFonts w:eastAsia="Bookman Old Style" w:cs="Bookman Old Style" w:ascii="Bookman Old Style" w:hAnsi="Bookman Old Style"/>
                <w:b/>
                <w:color w:val="000000"/>
                <w:sz w:val="20"/>
                <w:szCs w:val="20"/>
              </w:rPr>
              <w:t>2ª EVALUACIÓN</w:t>
            </w:r>
          </w:p>
          <w:p>
            <w:pPr>
              <w:pStyle w:val="Normal1"/>
              <w:jc w:val="both"/>
              <w:rPr>
                <w:b w:val="false"/>
                <w:b w:val="false"/>
                <w:bCs w:val="false"/>
              </w:rPr>
            </w:pPr>
            <w:r>
              <w:rPr>
                <w:rFonts w:eastAsia="Bookman Old Style" w:cs="Bookman Old Style" w:ascii="Bookman Old Style" w:hAnsi="Bookman Old Style"/>
                <w:b w:val="false"/>
                <w:bCs w:val="false"/>
                <w:color w:val="000000"/>
                <w:sz w:val="20"/>
                <w:szCs w:val="20"/>
              </w:rPr>
              <w:t xml:space="preserve">Bloque III: </w:t>
            </w:r>
            <w:r>
              <w:rPr>
                <w:rFonts w:eastAsia="Bookman Old Style" w:cs="Bookman Old Style" w:ascii="Bookman Old Style" w:hAnsi="Bookman Old Style"/>
                <w:b/>
                <w:bCs/>
                <w:color w:val="000000"/>
                <w:sz w:val="20"/>
                <w:szCs w:val="20"/>
              </w:rPr>
              <w:t xml:space="preserve">Los procesos cognitivos básicos: percepción, sensación y memoria. </w:t>
            </w:r>
            <w:r>
              <w:rPr>
                <w:rFonts w:eastAsia="Bookman Old Style" w:cs="Bookman Old Style" w:ascii="Bookman Old Style" w:hAnsi="Bookman Old Style"/>
                <w:b w:val="false"/>
                <w:bCs w:val="false"/>
                <w:color w:val="000000"/>
                <w:sz w:val="20"/>
                <w:szCs w:val="20"/>
              </w:rPr>
              <w:t>Criterios de evaluación: 1,2,3,4,5.</w:t>
            </w:r>
          </w:p>
          <w:p>
            <w:pPr>
              <w:pStyle w:val="Normal1"/>
              <w:jc w:val="both"/>
              <w:rPr>
                <w:b w:val="false"/>
                <w:b w:val="false"/>
                <w:bCs w:val="false"/>
              </w:rPr>
            </w:pPr>
            <w:r>
              <w:rPr>
                <w:rFonts w:eastAsia="Bookman Old Style" w:cs="Bookman Old Style" w:ascii="Bookman Old Style" w:hAnsi="Bookman Old Style"/>
                <w:b w:val="false"/>
                <w:bCs w:val="false"/>
                <w:color w:val="000000"/>
                <w:sz w:val="20"/>
                <w:szCs w:val="20"/>
              </w:rPr>
              <w:t xml:space="preserve">Bloque IV. </w:t>
            </w:r>
            <w:r>
              <w:rPr>
                <w:rFonts w:eastAsia="Bookman Old Style" w:cs="Bookman Old Style" w:ascii="Bookman Old Style" w:hAnsi="Bookman Old Style"/>
                <w:b/>
                <w:bCs/>
                <w:color w:val="000000"/>
                <w:sz w:val="20"/>
                <w:szCs w:val="20"/>
              </w:rPr>
              <w:t xml:space="preserve">Procesos cognitivos superiores: aprendizaje, inteligencia y pensamiento. </w:t>
            </w:r>
            <w:r>
              <w:rPr>
                <w:rFonts w:eastAsia="Bookman Old Style" w:cs="Bookman Old Style" w:ascii="Bookman Old Style" w:hAnsi="Bookman Old Style"/>
                <w:b w:val="false"/>
                <w:bCs w:val="false"/>
                <w:color w:val="000000"/>
                <w:sz w:val="20"/>
                <w:szCs w:val="20"/>
              </w:rPr>
              <w:t>Criterios de evaluación: 1,2,3,4,5,6.</w:t>
            </w:r>
          </w:p>
          <w:p>
            <w:pPr>
              <w:pStyle w:val="Normal1"/>
              <w:jc w:val="both"/>
              <w:rPr>
                <w:b/>
                <w:b/>
                <w:bCs/>
              </w:rPr>
            </w:pPr>
            <w:r>
              <w:rPr>
                <w:rFonts w:eastAsia="Bookman Old Style" w:cs="Bookman Old Style" w:ascii="Bookman Old Style" w:hAnsi="Bookman Old Style"/>
                <w:b/>
                <w:bCs/>
                <w:color w:val="000000"/>
                <w:sz w:val="20"/>
                <w:szCs w:val="20"/>
              </w:rPr>
              <w:t>3ª EVALUACIÓN</w:t>
            </w:r>
          </w:p>
          <w:p>
            <w:pPr>
              <w:pStyle w:val="Normal1"/>
              <w:jc w:val="both"/>
              <w:rPr>
                <w:b w:val="false"/>
                <w:b w:val="false"/>
                <w:bCs w:val="false"/>
              </w:rPr>
            </w:pPr>
            <w:r>
              <w:rPr>
                <w:rFonts w:eastAsia="Bookman Old Style" w:cs="Bookman Old Style" w:ascii="Bookman Old Style" w:hAnsi="Bookman Old Style"/>
                <w:b w:val="false"/>
                <w:bCs w:val="false"/>
                <w:color w:val="000000"/>
                <w:sz w:val="20"/>
                <w:szCs w:val="20"/>
              </w:rPr>
              <w:t xml:space="preserve">Bloque V: </w:t>
            </w:r>
            <w:r>
              <w:rPr>
                <w:rFonts w:eastAsia="Bookman Old Style" w:cs="Bookman Old Style" w:ascii="Bookman Old Style" w:hAnsi="Bookman Old Style"/>
                <w:b/>
                <w:bCs/>
                <w:color w:val="000000"/>
                <w:sz w:val="20"/>
                <w:szCs w:val="20"/>
              </w:rPr>
              <w:t xml:space="preserve">La construcción del ser humano. </w:t>
            </w:r>
            <w:r>
              <w:rPr>
                <w:rFonts w:eastAsia="Bookman Old Style" w:cs="Bookman Old Style" w:ascii="Bookman Old Style" w:hAnsi="Bookman Old Style"/>
                <w:b w:val="false"/>
                <w:bCs w:val="false"/>
                <w:color w:val="000000"/>
                <w:sz w:val="20"/>
                <w:szCs w:val="20"/>
              </w:rPr>
              <w:t>Criterios de evaluación:1,2,4,6.</w:t>
            </w:r>
          </w:p>
          <w:p>
            <w:pPr>
              <w:pStyle w:val="Normal1"/>
              <w:jc w:val="both"/>
              <w:rPr>
                <w:b w:val="false"/>
                <w:b w:val="false"/>
                <w:bCs w:val="false"/>
              </w:rPr>
            </w:pPr>
            <w:r>
              <w:rPr>
                <w:rFonts w:eastAsia="Bookman Old Style" w:cs="Bookman Old Style" w:ascii="Bookman Old Style" w:hAnsi="Bookman Old Style"/>
                <w:b w:val="false"/>
                <w:bCs w:val="false"/>
                <w:color w:val="000000"/>
                <w:sz w:val="20"/>
                <w:szCs w:val="20"/>
              </w:rPr>
              <w:t xml:space="preserve">Bloque VI: </w:t>
            </w:r>
            <w:r>
              <w:rPr>
                <w:rFonts w:eastAsia="Bookman Old Style" w:cs="Bookman Old Style" w:ascii="Bookman Old Style" w:hAnsi="Bookman Old Style"/>
                <w:b/>
                <w:bCs/>
                <w:color w:val="000000"/>
                <w:sz w:val="20"/>
                <w:szCs w:val="20"/>
              </w:rPr>
              <w:t xml:space="preserve">Psicología social y de las organizaciones: </w:t>
            </w:r>
            <w:r>
              <w:rPr>
                <w:rFonts w:eastAsia="Bookman Old Style" w:cs="Bookman Old Style" w:ascii="Bookman Old Style" w:hAnsi="Bookman Old Style"/>
                <w:b w:val="false"/>
                <w:bCs w:val="false"/>
                <w:color w:val="000000"/>
                <w:sz w:val="20"/>
                <w:szCs w:val="20"/>
              </w:rPr>
              <w:t>Criterios de evaluación: 1,2,4,5,6</w:t>
            </w:r>
          </w:p>
          <w:p>
            <w:pPr>
              <w:pStyle w:val="Normal1"/>
              <w:widowControl w:val="false"/>
              <w:jc w:val="both"/>
              <w:rPr/>
            </w:pPr>
            <w:r>
              <w:rPr/>
            </w:r>
          </w:p>
          <w:p>
            <w:pPr>
              <w:pStyle w:val="Normal1"/>
              <w:jc w:val="both"/>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exámenes con las directrices marcadas en las plataformas como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pPr>
            <w:r>
              <w:rPr>
                <w:rFonts w:cs="Arial" w:ascii="Bookman Old Style" w:hAnsi="Bookman Old Style"/>
                <w:b w:val="false"/>
                <w:bCs w:val="false"/>
                <w:sz w:val="20"/>
                <w:lang w:val="es-MX"/>
              </w:rPr>
              <w:t>Filmación de vídeos educativos sobre los temas que quedan por ver y realización de tareas o cuestionarios sobre los mismos.</w:t>
            </w:r>
          </w:p>
          <w:p>
            <w:pPr>
              <w:pStyle w:val="Normal"/>
              <w:widowControl w:val="false"/>
              <w:numPr>
                <w:ilvl w:val="0"/>
                <w:numId w:val="1"/>
              </w:numPr>
              <w:spacing w:lineRule="auto" w:line="240"/>
              <w:jc w:val="both"/>
              <w:rPr>
                <w:rFonts w:ascii="Bookman Old Style" w:hAnsi="Bookman Old Style"/>
                <w:b/>
                <w:b/>
                <w:sz w:val="20"/>
              </w:rPr>
            </w:pPr>
            <w:r>
              <w:rPr>
                <w:rFonts w:ascii="Bookman Old Style" w:hAnsi="Bookman Old Style"/>
                <w:b/>
                <w:sz w:val="20"/>
              </w:rPr>
            </w:r>
          </w:p>
          <w:p>
            <w:pPr>
              <w:pStyle w:val="Normal1"/>
              <w:widowControl w:val="false"/>
              <w:jc w:val="both"/>
              <w:rPr>
                <w:b/>
                <w:b/>
                <w:bCs/>
              </w:rPr>
            </w:pPr>
            <w:r>
              <w:rPr>
                <w:b/>
                <w:bCs/>
              </w:rPr>
              <w:t>CRITERIOS DE CALIFICACIÓN</w:t>
            </w:r>
          </w:p>
          <w:p>
            <w:pPr>
              <w:pStyle w:val="Normal"/>
              <w:jc w:val="both"/>
              <w:rPr/>
            </w:pPr>
            <w:r>
              <w:rPr>
                <w:rFonts w:eastAsia="Bookman Old Style" w:cs="Bookman Old Style" w:ascii="Bookman Old Style" w:hAnsi="Bookman Old Style"/>
                <w:b/>
                <w:sz w:val="20"/>
                <w:szCs w:val="20"/>
              </w:rPr>
              <w:t>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Para el alumnado de Bachillerato diurno:</w:t>
            </w:r>
          </w:p>
          <w:p>
            <w:pPr>
              <w:pStyle w:val="Normal1"/>
              <w:widowControl w:val="false"/>
              <w:jc w:val="both"/>
              <w:rPr/>
            </w:pPr>
            <w:r>
              <w:rPr>
                <w:rFonts w:ascii="Bookman Old Style" w:hAnsi="Bookman Old Style"/>
                <w:kern w:val="2"/>
                <w:sz w:val="20"/>
                <w:szCs w:val="20"/>
                <w:lang w:val="es-ES_tradnl"/>
              </w:rPr>
              <w:t>Se calificarán las pruebas escritas, el seguimeinto de las interpretaciones del profesor, las actividades y trabajos atendiendo a los criterios de evaluación.</w:t>
            </w:r>
          </w:p>
          <w:p>
            <w:pPr>
              <w:pStyle w:val="Normal1"/>
              <w:widowControl w:val="false"/>
              <w:jc w:val="both"/>
              <w:rPr/>
            </w:pPr>
            <w:r>
              <w:rPr>
                <w:rFonts w:ascii="Bookman Old Style" w:hAnsi="Bookman Old Style"/>
                <w:kern w:val="2"/>
                <w:sz w:val="20"/>
                <w:szCs w:val="20"/>
                <w:lang w:val="es-ES_tradnl"/>
              </w:rPr>
              <w:t>En caso de confinamiento las tareas se realizarán on-line por medio de la plataforma Moodle de diurno</w:t>
            </w:r>
          </w:p>
          <w:p>
            <w:pPr>
              <w:pStyle w:val="Normal1"/>
              <w:widowControl w:val="false"/>
              <w:jc w:val="both"/>
              <w:rPr>
                <w:rFonts w:ascii="Bookman Old Style" w:hAnsi="Bookman Old Style"/>
                <w:b/>
                <w:b/>
                <w:sz w:val="20"/>
                <w:szCs w:val="20"/>
              </w:rPr>
            </w:pPr>
            <w:r>
              <w:rPr>
                <w:rFonts w:ascii="Bookman Old Style" w:hAnsi="Bookman Old Style"/>
                <w:b/>
                <w:sz w:val="20"/>
                <w:szCs w:val="20"/>
              </w:rPr>
            </w:r>
          </w:p>
          <w:p>
            <w:pPr>
              <w:pStyle w:val="Normal1"/>
              <w:widowControl w:val="false"/>
              <w:jc w:val="both"/>
              <w:rPr/>
            </w:pPr>
            <w:r>
              <w:rPr>
                <w:rFonts w:ascii="Bookman Old Style" w:hAnsi="Bookman Old Style"/>
                <w:sz w:val="20"/>
                <w:szCs w:val="20"/>
              </w:rPr>
              <w:t>CUANTIFICACIÓN:</w:t>
            </w:r>
          </w:p>
          <w:p>
            <w:pPr>
              <w:pStyle w:val="Normal1"/>
              <w:widowControl w:val="false"/>
              <w:jc w:val="both"/>
              <w:rPr/>
            </w:pPr>
            <w:r>
              <w:rPr>
                <w:rFonts w:ascii="Bookman Old Style" w:hAnsi="Bookman Old Style"/>
                <w:sz w:val="20"/>
                <w:szCs w:val="20"/>
              </w:rPr>
              <w:t>70% Pruebas escritas</w:t>
            </w:r>
          </w:p>
          <w:p>
            <w:pPr>
              <w:pStyle w:val="Normal1"/>
              <w:widowControl w:val="false"/>
              <w:jc w:val="both"/>
              <w:rPr/>
            </w:pPr>
            <w:r>
              <w:rPr>
                <w:rFonts w:ascii="Bookman Old Style" w:hAnsi="Bookman Old Style"/>
                <w:sz w:val="20"/>
                <w:szCs w:val="20"/>
              </w:rPr>
              <w:t>20% Tareas. Uso de la plataforma moodle.</w:t>
            </w:r>
          </w:p>
          <w:p>
            <w:pPr>
              <w:pStyle w:val="Normal1"/>
              <w:widowControl w:val="false"/>
              <w:jc w:val="both"/>
              <w:rPr/>
            </w:pPr>
            <w:r>
              <w:rPr>
                <w:rFonts w:ascii="Bookman Old Style" w:hAnsi="Bookman Old Style"/>
                <w:sz w:val="20"/>
                <w:szCs w:val="20"/>
              </w:rPr>
              <w:t>10% Seguimiento de la materia, atención-concentración en los procesos de interpretación, cuaderno del alumno….</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09"/>
      <w:gridCol w:w="3433"/>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09" w:type="dxa"/>
          <w:tcBorders/>
          <w:shd w:color="auto" w:fill="FFFFFF" w:val="clear"/>
        </w:tcPr>
        <w:p>
          <w:pPr>
            <w:pStyle w:val="Encabezamiento"/>
            <w:jc w:val="center"/>
            <w:rPr>
              <w:i/>
              <w:i/>
            </w:rPr>
          </w:pPr>
          <w:r>
            <w:rPr>
              <w:i/>
            </w:rPr>
          </w:r>
        </w:p>
      </w:tc>
      <w:tc>
        <w:tcPr>
          <w:tcW w:w="3433"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75">
    <w:name w:val="ListLabel 75"/>
    <w:qFormat/>
    <w:rPr>
      <w:rFonts w:ascii="Bookman Old Style" w:hAnsi="Bookman Old Style" w:cs="Aria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Bookman Old Style" w:hAnsi="Bookman Old Style" w:cs="Arial"/>
      <w:b/>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LibreOffice/6.2.8.2$Linux_x86 LibreOffice_project/20$Build-2</Application>
  <Pages>3</Pages>
  <Words>700</Words>
  <Characters>4125</Characters>
  <CharactersWithSpaces>4767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2021-10-19T19:23:35Z</cp:lastPrinted>
  <dcterms:modified xsi:type="dcterms:W3CDTF">2021-11-02T19:56:45Z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