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24"/>
        <w:gridCol w:w="4868"/>
        <w:gridCol w:w="848"/>
        <w:gridCol w:w="2212"/>
      </w:tblGrid>
      <w:tr w:rsidR="00FD50A2" w:rsidRPr="00A32F79" w14:paraId="529B067D" w14:textId="77777777" w:rsidTr="00586065">
        <w:trPr>
          <w:trHeight w:val="1485"/>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5D5B13C4" w14:textId="77777777" w:rsidR="00FD50A2" w:rsidRPr="00AA762B" w:rsidRDefault="00FD50A2" w:rsidP="00033200">
            <w:pPr>
              <w:spacing w:after="0"/>
            </w:pP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0A122CDC" w14:textId="77777777" w:rsidR="00FD50A2" w:rsidRDefault="00FD50A2" w:rsidP="009D359B">
            <w:pPr>
              <w:pStyle w:val="Materia"/>
              <w:spacing w:before="240"/>
              <w:jc w:val="center"/>
            </w:pPr>
            <w:r>
              <w:drawing>
                <wp:anchor distT="0" distB="0" distL="0" distR="0" simplePos="0" relativeHeight="251663360" behindDoc="0" locked="0" layoutInCell="1" allowOverlap="1" wp14:anchorId="241C838E" wp14:editId="74EF9F8C">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14:paraId="764FA18D" w14:textId="77777777" w:rsidR="00FD50A2" w:rsidRDefault="00FD50A2" w:rsidP="009D359B">
            <w:pPr>
              <w:pStyle w:val="Materia"/>
              <w:spacing w:before="240"/>
              <w:jc w:val="center"/>
            </w:pPr>
            <w:r>
              <w:t>FUENGIROLA (MÁLAGA)</w:t>
            </w:r>
          </w:p>
        </w:tc>
        <w:tc>
          <w:tcPr>
            <w:tcW w:w="2212"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67F58FD0" w14:textId="77777777" w:rsidR="00FD50A2" w:rsidRDefault="00FD50A2" w:rsidP="00C90748">
            <w:pPr>
              <w:pStyle w:val="Unidad"/>
            </w:pPr>
          </w:p>
        </w:tc>
      </w:tr>
      <w:tr w:rsidR="00FD50A2" w:rsidRPr="00A32F79" w14:paraId="4D5AB2C6" w14:textId="77777777" w:rsidTr="00586065">
        <w:trPr>
          <w:trHeight w:val="333"/>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2054C0C7" w14:textId="77777777"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4868" w:type="dxa"/>
            <w:tcBorders>
              <w:top w:val="threeDEmboss" w:sz="12" w:space="0" w:color="auto"/>
              <w:left w:val="threeDEmboss" w:sz="12" w:space="0" w:color="auto"/>
              <w:bottom w:val="threeDEmboss" w:sz="12" w:space="0" w:color="auto"/>
              <w:right w:val="threeDEmboss" w:sz="12" w:space="0" w:color="auto"/>
            </w:tcBorders>
            <w:vAlign w:val="center"/>
          </w:tcPr>
          <w:p w14:paraId="6E746430" w14:textId="63353F2F" w:rsidR="00FD50A2" w:rsidRPr="00C90748" w:rsidRDefault="005A5523" w:rsidP="00C90748">
            <w:pPr>
              <w:pStyle w:val="Materia"/>
            </w:pPr>
            <w:r>
              <w:t>EQUIPOS MICROINFORMÁTICOS</w:t>
            </w:r>
          </w:p>
        </w:tc>
        <w:tc>
          <w:tcPr>
            <w:tcW w:w="848"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023473BC" w14:textId="77777777"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12" w:type="dxa"/>
            <w:tcBorders>
              <w:top w:val="threeDEmboss" w:sz="12" w:space="0" w:color="auto"/>
              <w:left w:val="threeDEmboss" w:sz="12" w:space="0" w:color="auto"/>
              <w:bottom w:val="threeDEmboss" w:sz="12" w:space="0" w:color="auto"/>
              <w:right w:val="threeDEmboss" w:sz="12" w:space="0" w:color="auto"/>
            </w:tcBorders>
            <w:vAlign w:val="center"/>
          </w:tcPr>
          <w:p w14:paraId="3148B529" w14:textId="77777777" w:rsidR="00FD50A2" w:rsidRDefault="009F6B16" w:rsidP="00C90748">
            <w:pPr>
              <w:pStyle w:val="Unidad"/>
            </w:pPr>
            <w:r>
              <w:t>1</w:t>
            </w:r>
            <w:r w:rsidR="00FD50A2">
              <w:t>º</w:t>
            </w:r>
          </w:p>
        </w:tc>
      </w:tr>
      <w:tr w:rsidR="00FD50A2" w:rsidRPr="00A32F79" w14:paraId="39E21E99" w14:textId="77777777" w:rsidTr="00586065">
        <w:trPr>
          <w:trHeight w:val="358"/>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2B892E59" w14:textId="77777777"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48C3CCB2" w14:textId="77777777" w:rsidR="00FD50A2" w:rsidRPr="00C90748" w:rsidRDefault="00FD50A2" w:rsidP="00C90748">
            <w:pPr>
              <w:pStyle w:val="Departamento"/>
            </w:pPr>
            <w:r>
              <w:t>INSTALACIONES</w:t>
            </w:r>
            <w:r w:rsidR="00922B28">
              <w:t xml:space="preserve"> DE TELECOMUNICACIONES</w:t>
            </w:r>
          </w:p>
        </w:tc>
        <w:tc>
          <w:tcPr>
            <w:tcW w:w="2212" w:type="dxa"/>
            <w:tcBorders>
              <w:top w:val="threeDEmboss" w:sz="12" w:space="0" w:color="auto"/>
              <w:left w:val="threeDEmboss" w:sz="12" w:space="0" w:color="auto"/>
              <w:bottom w:val="threeDEmboss" w:sz="12" w:space="0" w:color="auto"/>
              <w:right w:val="threeDEmboss" w:sz="12" w:space="0" w:color="auto"/>
            </w:tcBorders>
          </w:tcPr>
          <w:p w14:paraId="1A90A3A1" w14:textId="6B853DC3" w:rsidR="00FD50A2" w:rsidRDefault="00FD50A2" w:rsidP="00FD50A2">
            <w:pPr>
              <w:pStyle w:val="Departamento"/>
              <w:jc w:val="center"/>
            </w:pPr>
            <w:r>
              <w:t>20</w:t>
            </w:r>
            <w:r w:rsidR="005C280C">
              <w:t>20</w:t>
            </w:r>
            <w:r>
              <w:t>/202</w:t>
            </w:r>
            <w:r w:rsidR="005C280C">
              <w:t>1</w:t>
            </w:r>
          </w:p>
        </w:tc>
      </w:tr>
      <w:tr w:rsidR="00FD50A2" w:rsidRPr="00A32F79" w14:paraId="1F450E08" w14:textId="77777777" w:rsidTr="00586065">
        <w:trPr>
          <w:trHeight w:val="358"/>
        </w:trPr>
        <w:tc>
          <w:tcPr>
            <w:tcW w:w="2224"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14:paraId="32BC9585" w14:textId="77777777" w:rsidR="00FD50A2" w:rsidRDefault="00FD50A2" w:rsidP="00033200">
            <w:pPr>
              <w:spacing w:after="0"/>
              <w:rPr>
                <w:rFonts w:cs="Arial"/>
                <w:b/>
                <w:bCs/>
                <w:noProof/>
                <w:lang w:val="es-ES" w:eastAsia="es-ES"/>
              </w:rPr>
            </w:pPr>
            <w:r>
              <w:rPr>
                <w:rFonts w:cs="Arial"/>
                <w:b/>
                <w:bCs/>
                <w:noProof/>
                <w:lang w:val="es-ES" w:eastAsia="es-ES"/>
              </w:rPr>
              <w:t>DEPARTAMENTO</w:t>
            </w:r>
          </w:p>
        </w:tc>
        <w:tc>
          <w:tcPr>
            <w:tcW w:w="5716" w:type="dxa"/>
            <w:gridSpan w:val="2"/>
            <w:tcBorders>
              <w:top w:val="threeDEmboss" w:sz="12" w:space="0" w:color="auto"/>
              <w:left w:val="threeDEmboss" w:sz="12" w:space="0" w:color="auto"/>
              <w:bottom w:val="threeDEmboss" w:sz="12" w:space="0" w:color="auto"/>
              <w:right w:val="threeDEmboss" w:sz="12" w:space="0" w:color="auto"/>
            </w:tcBorders>
            <w:vAlign w:val="center"/>
          </w:tcPr>
          <w:p w14:paraId="07C0E32A" w14:textId="77777777" w:rsidR="00FD50A2" w:rsidRDefault="00FD50A2" w:rsidP="00C90748">
            <w:pPr>
              <w:pStyle w:val="Departamento"/>
            </w:pPr>
            <w:r>
              <w:t>ELECTRICIDAD Y ELECTRÓNICA</w:t>
            </w:r>
          </w:p>
        </w:tc>
        <w:tc>
          <w:tcPr>
            <w:tcW w:w="2212" w:type="dxa"/>
            <w:tcBorders>
              <w:top w:val="threeDEmboss" w:sz="12" w:space="0" w:color="auto"/>
              <w:left w:val="threeDEmboss" w:sz="12" w:space="0" w:color="auto"/>
              <w:bottom w:val="threeDEmboss" w:sz="12" w:space="0" w:color="auto"/>
              <w:right w:val="threeDEmboss" w:sz="12" w:space="0" w:color="auto"/>
            </w:tcBorders>
          </w:tcPr>
          <w:p w14:paraId="0DD77F8D" w14:textId="77777777" w:rsidR="00FD50A2" w:rsidRDefault="00FD50A2" w:rsidP="00C90748">
            <w:pPr>
              <w:pStyle w:val="Departamento"/>
            </w:pPr>
          </w:p>
        </w:tc>
      </w:tr>
      <w:tr w:rsidR="00FD50A2" w:rsidRPr="00A32F79" w14:paraId="37684686" w14:textId="77777777" w:rsidTr="00586065">
        <w:tc>
          <w:tcPr>
            <w:tcW w:w="7940" w:type="dxa"/>
            <w:gridSpan w:val="3"/>
            <w:tcBorders>
              <w:top w:val="double" w:sz="4" w:space="0" w:color="auto"/>
              <w:bottom w:val="double" w:sz="4" w:space="0" w:color="auto"/>
            </w:tcBorders>
            <w:shd w:val="clear" w:color="auto" w:fill="003300"/>
            <w:vAlign w:val="center"/>
          </w:tcPr>
          <w:p w14:paraId="3737F929" w14:textId="77777777"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12" w:type="dxa"/>
            <w:tcBorders>
              <w:top w:val="double" w:sz="4" w:space="0" w:color="auto"/>
              <w:bottom w:val="double" w:sz="4" w:space="0" w:color="auto"/>
            </w:tcBorders>
            <w:shd w:val="clear" w:color="auto" w:fill="003300"/>
          </w:tcPr>
          <w:p w14:paraId="795E72D5" w14:textId="77777777" w:rsidR="00FD50A2" w:rsidRPr="00A32F79" w:rsidRDefault="00FD50A2" w:rsidP="00957BD3">
            <w:pPr>
              <w:spacing w:after="0"/>
              <w:jc w:val="both"/>
              <w:rPr>
                <w:rFonts w:cs="Arial"/>
                <w:b/>
                <w:bCs/>
                <w:noProof/>
                <w:lang w:val="es-ES" w:eastAsia="es-ES"/>
              </w:rPr>
            </w:pPr>
          </w:p>
        </w:tc>
      </w:tr>
      <w:tr w:rsidR="00FD50A2" w:rsidRPr="00A32F79" w14:paraId="70ACABA7" w14:textId="77777777" w:rsidTr="00586065">
        <w:tc>
          <w:tcPr>
            <w:tcW w:w="7940" w:type="dxa"/>
            <w:gridSpan w:val="3"/>
            <w:tcBorders>
              <w:top w:val="double" w:sz="4" w:space="0" w:color="auto"/>
              <w:bottom w:val="double" w:sz="4" w:space="0" w:color="auto"/>
            </w:tcBorders>
            <w:vAlign w:val="center"/>
          </w:tcPr>
          <w:p w14:paraId="366640F2" w14:textId="77777777"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14:paraId="0BD65B95" w14:textId="77777777"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14:paraId="39842A89"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Realización de prácticas: individuales o en parejas. Cumplimentación y defensa de las memorias correspondientes.</w:t>
            </w:r>
          </w:p>
          <w:p w14:paraId="1E60A795"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Búsqueda de información actualizada y contrastada en Internet u otras fuentes.</w:t>
            </w:r>
          </w:p>
          <w:p w14:paraId="7D09C27C"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Pruebas escritas sobre contenidos teóricos y prácticos.</w:t>
            </w:r>
          </w:p>
          <w:p w14:paraId="7A771A8F"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Realización y entrega puntual de los proyectos y trabajos solicitados por el docente.</w:t>
            </w:r>
          </w:p>
          <w:p w14:paraId="4642E88B"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Correcta utilización y mantenimiento de los equipos, herramientas y materiales del aula taller.</w:t>
            </w:r>
          </w:p>
          <w:p w14:paraId="0FDFFB6F" w14:textId="77777777" w:rsidR="00586065" w:rsidRPr="00586065" w:rsidRDefault="00586065" w:rsidP="00586065">
            <w:pPr>
              <w:pStyle w:val="Prrafodelista"/>
              <w:numPr>
                <w:ilvl w:val="0"/>
                <w:numId w:val="8"/>
              </w:numPr>
              <w:rPr>
                <w:rFonts w:asciiTheme="minorHAnsi" w:hAnsiTheme="minorHAnsi" w:cstheme="minorHAnsi"/>
                <w:sz w:val="24"/>
                <w:szCs w:val="24"/>
              </w:rPr>
            </w:pPr>
            <w:r w:rsidRPr="00586065">
              <w:rPr>
                <w:rFonts w:asciiTheme="minorHAnsi" w:hAnsiTheme="minorHAnsi" w:cstheme="minorHAnsi"/>
                <w:sz w:val="24"/>
                <w:szCs w:val="24"/>
              </w:rPr>
              <w:t>Uso adecuado de herramientas y material siguiendo las medidas adecuadas de seguridad e higiene en el trabajo.</w:t>
            </w:r>
          </w:p>
          <w:p w14:paraId="1EBD8A1F" w14:textId="77777777" w:rsidR="00FD50A2" w:rsidRPr="00FD50A2" w:rsidRDefault="00FD50A2" w:rsidP="003C3343">
            <w:pPr>
              <w:jc w:val="both"/>
              <w:rPr>
                <w:b/>
                <w:i/>
                <w:u w:val="single"/>
              </w:rPr>
            </w:pPr>
            <w:r w:rsidRPr="00FD50A2">
              <w:rPr>
                <w:b/>
                <w:i/>
                <w:u w:val="single"/>
              </w:rPr>
              <w:t>CRITERIOS DE CALIFICACIÓN</w:t>
            </w:r>
          </w:p>
          <w:p w14:paraId="686894F6" w14:textId="77777777" w:rsidR="007A5824" w:rsidRDefault="00586065" w:rsidP="00586065">
            <w:pPr>
              <w:jc w:val="both"/>
            </w:pPr>
            <w:r>
              <w:t>Cada tema de la asignatura tiene un valor en la nota final, el cual viene determinado por el peso de los Resultados de Aprendizaje que se evalúan en cada tema, por lo que hay temas con mayor carga práctica o mayor carga teórica. El desglose de los pesos de los R.A. puede consultarse en la programación didáctica del módulo en cuestión.</w:t>
            </w:r>
          </w:p>
          <w:p w14:paraId="0F278912" w14:textId="77777777" w:rsidR="007A5824" w:rsidRDefault="007A5824" w:rsidP="003C3343">
            <w:pPr>
              <w:jc w:val="both"/>
            </w:pPr>
          </w:p>
          <w:p w14:paraId="7AC239FF" w14:textId="77777777" w:rsidR="00586065" w:rsidRPr="00586065" w:rsidRDefault="00586065" w:rsidP="00586065">
            <w:pPr>
              <w:pStyle w:val="Prrafodelista"/>
              <w:numPr>
                <w:ilvl w:val="0"/>
                <w:numId w:val="9"/>
              </w:numPr>
              <w:rPr>
                <w:rFonts w:asciiTheme="minorHAnsi" w:hAnsiTheme="minorHAnsi" w:cstheme="minorHAnsi"/>
                <w:sz w:val="24"/>
                <w:szCs w:val="24"/>
              </w:rPr>
            </w:pPr>
            <w:r w:rsidRPr="00586065">
              <w:rPr>
                <w:rFonts w:asciiTheme="minorHAnsi" w:hAnsiTheme="minorHAnsi" w:cstheme="minorHAnsi"/>
                <w:sz w:val="24"/>
                <w:szCs w:val="24"/>
                <w:u w:val="single"/>
              </w:rPr>
              <w:t>Pruebas escritas y/o prácticas</w:t>
            </w:r>
            <w:r w:rsidRPr="00586065">
              <w:rPr>
                <w:rFonts w:asciiTheme="minorHAnsi" w:hAnsiTheme="minorHAnsi" w:cstheme="minorHAnsi"/>
                <w:sz w:val="24"/>
                <w:szCs w:val="24"/>
              </w:rPr>
              <w:t>: se realizarán por unidad didáctica o por conjunto de ellas según contenidos o por requerimientos de organización. Las pruebas constarán de una parte teórica y una parte práctica (o referente a las prácticas realizadas), siempre que sea posible.</w:t>
            </w:r>
          </w:p>
          <w:p w14:paraId="0837F043" w14:textId="77777777" w:rsidR="00586065" w:rsidRPr="00586065" w:rsidRDefault="00586065" w:rsidP="00586065">
            <w:pPr>
              <w:pStyle w:val="Prrafodelista"/>
              <w:numPr>
                <w:ilvl w:val="0"/>
                <w:numId w:val="9"/>
              </w:numPr>
              <w:rPr>
                <w:rFonts w:asciiTheme="minorHAnsi" w:hAnsiTheme="minorHAnsi" w:cstheme="minorHAnsi"/>
                <w:sz w:val="24"/>
                <w:szCs w:val="24"/>
              </w:rPr>
            </w:pPr>
            <w:r w:rsidRPr="00586065">
              <w:rPr>
                <w:rFonts w:asciiTheme="minorHAnsi" w:hAnsiTheme="minorHAnsi" w:cstheme="minorHAnsi"/>
                <w:sz w:val="24"/>
                <w:szCs w:val="24"/>
                <w:u w:val="single"/>
              </w:rPr>
              <w:t>Trabajos y prácticas de clase</w:t>
            </w:r>
            <w:r w:rsidRPr="00586065">
              <w:rPr>
                <w:rFonts w:asciiTheme="minorHAnsi" w:hAnsiTheme="minorHAnsi" w:cstheme="minorHAnsi"/>
                <w:sz w:val="24"/>
                <w:szCs w:val="24"/>
              </w:rPr>
              <w:t>: todos los ejercicios y prácticas pertenecientes a cada unidad, en su gran mayoría a realizar en clase bajo supervisión del docente. Todo el material necesario para la asignatura se encuentra disponible en carpetas de Google Drive (apuntes, actividades, prácticas, catálogos, etc.). No se permite la entrega de material fuera de plazo, debiéndose entregar en el período existente para la recuperación.</w:t>
            </w:r>
          </w:p>
          <w:p w14:paraId="6509014C" w14:textId="77777777" w:rsidR="00FD50A2" w:rsidRDefault="00FD50A2" w:rsidP="003C3343">
            <w:pPr>
              <w:jc w:val="both"/>
            </w:pPr>
          </w:p>
          <w:p w14:paraId="25839AFA" w14:textId="77777777" w:rsidR="00E7455E" w:rsidRDefault="00E7455E" w:rsidP="00586065"/>
          <w:tbl>
            <w:tblPr>
              <w:tblStyle w:val="Tablaconcuadrcula"/>
              <w:tblW w:w="5000" w:type="pct"/>
              <w:tblLook w:val="04A0" w:firstRow="1" w:lastRow="0" w:firstColumn="1" w:lastColumn="0" w:noHBand="0" w:noVBand="1"/>
            </w:tblPr>
            <w:tblGrid>
              <w:gridCol w:w="640"/>
              <w:gridCol w:w="4422"/>
              <w:gridCol w:w="933"/>
              <w:gridCol w:w="1719"/>
            </w:tblGrid>
            <w:tr w:rsidR="00FA1B4D" w:rsidRPr="000B16AA" w14:paraId="659719AF" w14:textId="77777777" w:rsidTr="000B16AA">
              <w:tc>
                <w:tcPr>
                  <w:tcW w:w="415" w:type="pct"/>
                </w:tcPr>
                <w:p w14:paraId="44DD1E8B" w14:textId="77777777" w:rsidR="00FA1B4D" w:rsidRPr="000B16AA" w:rsidRDefault="00FA1B4D" w:rsidP="00FA1B4D">
                  <w:pPr>
                    <w:spacing w:line="240" w:lineRule="auto"/>
                    <w:jc w:val="center"/>
                    <w:rPr>
                      <w:rFonts w:asciiTheme="minorHAnsi" w:hAnsiTheme="minorHAnsi" w:cstheme="minorHAnsi"/>
                    </w:rPr>
                  </w:pPr>
                </w:p>
              </w:tc>
              <w:tc>
                <w:tcPr>
                  <w:tcW w:w="2866" w:type="pct"/>
                </w:tcPr>
                <w:p w14:paraId="71E99D66"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Tema</w:t>
                  </w:r>
                </w:p>
              </w:tc>
              <w:tc>
                <w:tcPr>
                  <w:tcW w:w="605" w:type="pct"/>
                </w:tcPr>
                <w:p w14:paraId="2A484944"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Peso</w:t>
                  </w:r>
                </w:p>
              </w:tc>
              <w:tc>
                <w:tcPr>
                  <w:tcW w:w="1114" w:type="pct"/>
                </w:tcPr>
                <w:p w14:paraId="322F8F3E" w14:textId="77777777" w:rsidR="00FA1B4D" w:rsidRPr="000B16AA" w:rsidRDefault="00FA1B4D" w:rsidP="00FA1B4D">
                  <w:pPr>
                    <w:spacing w:line="240" w:lineRule="auto"/>
                    <w:jc w:val="center"/>
                    <w:rPr>
                      <w:rFonts w:asciiTheme="minorHAnsi" w:hAnsiTheme="minorHAnsi" w:cstheme="minorHAnsi"/>
                      <w:b/>
                      <w:bCs/>
                    </w:rPr>
                  </w:pPr>
                  <w:r w:rsidRPr="000B16AA">
                    <w:rPr>
                      <w:rFonts w:asciiTheme="minorHAnsi" w:hAnsiTheme="minorHAnsi" w:cstheme="minorHAnsi"/>
                      <w:b/>
                      <w:bCs/>
                    </w:rPr>
                    <w:t>Porcentaje</w:t>
                  </w:r>
                </w:p>
              </w:tc>
            </w:tr>
            <w:tr w:rsidR="00FA1B4D" w:rsidRPr="000B16AA" w14:paraId="21FCFC34" w14:textId="77777777" w:rsidTr="000B16AA">
              <w:tc>
                <w:tcPr>
                  <w:tcW w:w="415" w:type="pct"/>
                </w:tcPr>
                <w:p w14:paraId="70C1387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w:t>
                  </w:r>
                </w:p>
              </w:tc>
              <w:tc>
                <w:tcPr>
                  <w:tcW w:w="2866" w:type="pct"/>
                </w:tcPr>
                <w:p w14:paraId="3F9F6081" w14:textId="2B9964C5" w:rsidR="00FA1B4D" w:rsidRPr="000B16AA" w:rsidRDefault="00C109B3" w:rsidP="00FA1B4D">
                  <w:pPr>
                    <w:spacing w:line="240" w:lineRule="auto"/>
                    <w:rPr>
                      <w:rFonts w:asciiTheme="minorHAnsi" w:hAnsiTheme="minorHAnsi" w:cstheme="minorHAnsi"/>
                    </w:rPr>
                  </w:pPr>
                  <w:r>
                    <w:rPr>
                      <w:rFonts w:asciiTheme="minorHAnsi" w:hAnsiTheme="minorHAnsi" w:cstheme="minorHAnsi"/>
                    </w:rPr>
                    <w:t>Montaje de equipos microinformáticos</w:t>
                  </w:r>
                </w:p>
              </w:tc>
              <w:tc>
                <w:tcPr>
                  <w:tcW w:w="605" w:type="pct"/>
                </w:tcPr>
                <w:p w14:paraId="60460EB3" w14:textId="55F61B75"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12</w:t>
                  </w:r>
                </w:p>
              </w:tc>
              <w:tc>
                <w:tcPr>
                  <w:tcW w:w="1114" w:type="pct"/>
                </w:tcPr>
                <w:p w14:paraId="7AAEE10F" w14:textId="1B7A0F7A" w:rsidR="00FA1B4D" w:rsidRPr="000B16AA" w:rsidRDefault="00A0228B" w:rsidP="00FA1B4D">
                  <w:pPr>
                    <w:spacing w:line="240" w:lineRule="auto"/>
                    <w:jc w:val="center"/>
                    <w:rPr>
                      <w:rFonts w:asciiTheme="minorHAnsi" w:hAnsiTheme="minorHAnsi" w:cstheme="minorHAnsi"/>
                    </w:rPr>
                  </w:pPr>
                  <w:r>
                    <w:rPr>
                      <w:rFonts w:asciiTheme="minorHAnsi" w:hAnsiTheme="minorHAnsi" w:cstheme="minorHAnsi"/>
                    </w:rPr>
                    <w:t>7.05%</w:t>
                  </w:r>
                </w:p>
              </w:tc>
            </w:tr>
            <w:tr w:rsidR="00FA1B4D" w:rsidRPr="000B16AA" w14:paraId="1497517F" w14:textId="77777777" w:rsidTr="000B16AA">
              <w:tc>
                <w:tcPr>
                  <w:tcW w:w="415" w:type="pct"/>
                </w:tcPr>
                <w:p w14:paraId="0164253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2</w:t>
                  </w:r>
                </w:p>
              </w:tc>
              <w:tc>
                <w:tcPr>
                  <w:tcW w:w="2866" w:type="pct"/>
                </w:tcPr>
                <w:p w14:paraId="79F39B85" w14:textId="708AC590" w:rsidR="00FA1B4D" w:rsidRPr="000B16AA" w:rsidRDefault="00C109B3" w:rsidP="00FA1B4D">
                  <w:pPr>
                    <w:spacing w:line="240" w:lineRule="auto"/>
                    <w:rPr>
                      <w:rFonts w:asciiTheme="minorHAnsi" w:hAnsiTheme="minorHAnsi" w:cstheme="minorHAnsi"/>
                    </w:rPr>
                  </w:pPr>
                  <w:r>
                    <w:rPr>
                      <w:rFonts w:asciiTheme="minorHAnsi" w:hAnsiTheme="minorHAnsi" w:cstheme="minorHAnsi"/>
                    </w:rPr>
                    <w:t>Instalación de periféricos</w:t>
                  </w:r>
                </w:p>
              </w:tc>
              <w:tc>
                <w:tcPr>
                  <w:tcW w:w="605" w:type="pct"/>
                </w:tcPr>
                <w:p w14:paraId="11A22B8A" w14:textId="62CEF8FA"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17</w:t>
                  </w:r>
                </w:p>
              </w:tc>
              <w:tc>
                <w:tcPr>
                  <w:tcW w:w="1114" w:type="pct"/>
                </w:tcPr>
                <w:p w14:paraId="156D13A5" w14:textId="6B8C3F2A" w:rsidR="00FA1B4D" w:rsidRPr="000B16AA" w:rsidRDefault="00A0228B" w:rsidP="00FA1B4D">
                  <w:pPr>
                    <w:spacing w:line="240" w:lineRule="auto"/>
                    <w:jc w:val="center"/>
                    <w:rPr>
                      <w:rFonts w:asciiTheme="minorHAnsi" w:hAnsiTheme="minorHAnsi" w:cstheme="minorHAnsi"/>
                    </w:rPr>
                  </w:pPr>
                  <w:r>
                    <w:rPr>
                      <w:rFonts w:asciiTheme="minorHAnsi" w:hAnsiTheme="minorHAnsi" w:cstheme="minorHAnsi"/>
                    </w:rPr>
                    <w:t>10%</w:t>
                  </w:r>
                </w:p>
              </w:tc>
            </w:tr>
            <w:tr w:rsidR="00FA1B4D" w:rsidRPr="000B16AA" w14:paraId="13998C5F" w14:textId="77777777" w:rsidTr="000B16AA">
              <w:tc>
                <w:tcPr>
                  <w:tcW w:w="415" w:type="pct"/>
                </w:tcPr>
                <w:p w14:paraId="0C1E4397"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3</w:t>
                  </w:r>
                </w:p>
              </w:tc>
              <w:tc>
                <w:tcPr>
                  <w:tcW w:w="2866" w:type="pct"/>
                </w:tcPr>
                <w:p w14:paraId="0013B227" w14:textId="3968C5D9" w:rsidR="00FA1B4D" w:rsidRPr="000B16AA" w:rsidRDefault="00C109B3" w:rsidP="00FA1B4D">
                  <w:pPr>
                    <w:spacing w:line="240" w:lineRule="auto"/>
                    <w:rPr>
                      <w:rFonts w:asciiTheme="minorHAnsi" w:hAnsiTheme="minorHAnsi" w:cstheme="minorHAnsi"/>
                    </w:rPr>
                  </w:pPr>
                  <w:r>
                    <w:rPr>
                      <w:rFonts w:asciiTheme="minorHAnsi" w:hAnsiTheme="minorHAnsi" w:cstheme="minorHAnsi"/>
                    </w:rPr>
                    <w:t>Configuración de equipos microinformáticos</w:t>
                  </w:r>
                </w:p>
              </w:tc>
              <w:tc>
                <w:tcPr>
                  <w:tcW w:w="605" w:type="pct"/>
                </w:tcPr>
                <w:p w14:paraId="0EA641C9" w14:textId="1F0CE25D"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14</w:t>
                  </w:r>
                </w:p>
              </w:tc>
              <w:tc>
                <w:tcPr>
                  <w:tcW w:w="1114" w:type="pct"/>
                </w:tcPr>
                <w:p w14:paraId="1B3677AB" w14:textId="3B0326CA"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8.23</w:t>
                  </w:r>
                  <w:r w:rsidR="00A0228B">
                    <w:rPr>
                      <w:rFonts w:asciiTheme="minorHAnsi" w:hAnsiTheme="minorHAnsi" w:cstheme="minorHAnsi"/>
                    </w:rPr>
                    <w:t>%</w:t>
                  </w:r>
                </w:p>
              </w:tc>
            </w:tr>
            <w:tr w:rsidR="00FA1B4D" w:rsidRPr="000B16AA" w14:paraId="20B0D858" w14:textId="77777777" w:rsidTr="000B16AA">
              <w:tc>
                <w:tcPr>
                  <w:tcW w:w="415" w:type="pct"/>
                </w:tcPr>
                <w:p w14:paraId="04AAD11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4</w:t>
                  </w:r>
                </w:p>
              </w:tc>
              <w:tc>
                <w:tcPr>
                  <w:tcW w:w="2866" w:type="pct"/>
                </w:tcPr>
                <w:p w14:paraId="2823F1CA" w14:textId="254673EA" w:rsidR="00FA1B4D" w:rsidRPr="000B16AA" w:rsidRDefault="00C109B3" w:rsidP="00FA1B4D">
                  <w:pPr>
                    <w:spacing w:line="240" w:lineRule="auto"/>
                    <w:rPr>
                      <w:rFonts w:asciiTheme="minorHAnsi" w:hAnsiTheme="minorHAnsi" w:cstheme="minorHAnsi"/>
                    </w:rPr>
                  </w:pPr>
                  <w:r>
                    <w:rPr>
                      <w:rFonts w:asciiTheme="minorHAnsi" w:hAnsiTheme="minorHAnsi" w:cstheme="minorHAnsi"/>
                    </w:rPr>
                    <w:t>Ordenadores portátiles y netbook</w:t>
                  </w:r>
                </w:p>
              </w:tc>
              <w:tc>
                <w:tcPr>
                  <w:tcW w:w="605" w:type="pct"/>
                </w:tcPr>
                <w:p w14:paraId="05FFA016" w14:textId="2B972E5E"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12</w:t>
                  </w:r>
                </w:p>
              </w:tc>
              <w:tc>
                <w:tcPr>
                  <w:tcW w:w="1114" w:type="pct"/>
                </w:tcPr>
                <w:p w14:paraId="3AAD2D55" w14:textId="6F79A21E"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7.05%</w:t>
                  </w:r>
                </w:p>
              </w:tc>
            </w:tr>
            <w:tr w:rsidR="00FA1B4D" w:rsidRPr="000B16AA" w14:paraId="7BA37789" w14:textId="77777777" w:rsidTr="000B16AA">
              <w:tc>
                <w:tcPr>
                  <w:tcW w:w="415" w:type="pct"/>
                </w:tcPr>
                <w:p w14:paraId="3B685FDE"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5</w:t>
                  </w:r>
                </w:p>
              </w:tc>
              <w:tc>
                <w:tcPr>
                  <w:tcW w:w="2866" w:type="pct"/>
                </w:tcPr>
                <w:p w14:paraId="2E328E75" w14:textId="1F59C77A" w:rsidR="00FA1B4D" w:rsidRPr="000B16AA" w:rsidRDefault="00C109B3" w:rsidP="00FA1B4D">
                  <w:pPr>
                    <w:spacing w:line="240" w:lineRule="auto"/>
                    <w:rPr>
                      <w:rFonts w:asciiTheme="minorHAnsi" w:hAnsiTheme="minorHAnsi" w:cstheme="minorHAnsi"/>
                    </w:rPr>
                  </w:pPr>
                  <w:r>
                    <w:rPr>
                      <w:rFonts w:asciiTheme="minorHAnsi" w:hAnsiTheme="minorHAnsi" w:cstheme="minorHAnsi"/>
                    </w:rPr>
                    <w:t>Instalación de sistemas operativos</w:t>
                  </w:r>
                </w:p>
              </w:tc>
              <w:tc>
                <w:tcPr>
                  <w:tcW w:w="605" w:type="pct"/>
                </w:tcPr>
                <w:p w14:paraId="648FEAEE" w14:textId="714141CC"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19</w:t>
                  </w:r>
                </w:p>
              </w:tc>
              <w:tc>
                <w:tcPr>
                  <w:tcW w:w="1114" w:type="pct"/>
                </w:tcPr>
                <w:p w14:paraId="003490CB" w14:textId="13F78160"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11.17</w:t>
                  </w:r>
                  <w:r w:rsidR="00A0228B">
                    <w:rPr>
                      <w:rFonts w:asciiTheme="minorHAnsi" w:hAnsiTheme="minorHAnsi" w:cstheme="minorHAnsi"/>
                    </w:rPr>
                    <w:t>%</w:t>
                  </w:r>
                </w:p>
              </w:tc>
            </w:tr>
            <w:tr w:rsidR="00FA1B4D" w:rsidRPr="000B16AA" w14:paraId="4BF54286" w14:textId="77777777" w:rsidTr="000B16AA">
              <w:tc>
                <w:tcPr>
                  <w:tcW w:w="415" w:type="pct"/>
                </w:tcPr>
                <w:p w14:paraId="492DC10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6</w:t>
                  </w:r>
                </w:p>
              </w:tc>
              <w:tc>
                <w:tcPr>
                  <w:tcW w:w="2866" w:type="pct"/>
                </w:tcPr>
                <w:p w14:paraId="7B52EDF3" w14:textId="6B9C36A8" w:rsidR="00FA1B4D" w:rsidRPr="000B16AA" w:rsidRDefault="00C109B3" w:rsidP="00FA1B4D">
                  <w:pPr>
                    <w:spacing w:line="240" w:lineRule="auto"/>
                    <w:rPr>
                      <w:rFonts w:asciiTheme="minorHAnsi" w:hAnsiTheme="minorHAnsi" w:cstheme="minorHAnsi"/>
                    </w:rPr>
                  </w:pPr>
                  <w:r>
                    <w:rPr>
                      <w:rFonts w:asciiTheme="minorHAnsi" w:hAnsiTheme="minorHAnsi" w:cstheme="minorHAnsi"/>
                    </w:rPr>
                    <w:t>Configuración de sistemas operativos</w:t>
                  </w:r>
                </w:p>
              </w:tc>
              <w:tc>
                <w:tcPr>
                  <w:tcW w:w="605" w:type="pct"/>
                </w:tcPr>
                <w:p w14:paraId="377F7D43" w14:textId="3B57EEE0"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19</w:t>
                  </w:r>
                </w:p>
              </w:tc>
              <w:tc>
                <w:tcPr>
                  <w:tcW w:w="1114" w:type="pct"/>
                </w:tcPr>
                <w:p w14:paraId="30F54217" w14:textId="27F81BC5"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11.17%</w:t>
                  </w:r>
                </w:p>
              </w:tc>
            </w:tr>
            <w:tr w:rsidR="00FA1B4D" w:rsidRPr="000B16AA" w14:paraId="5B63DAE1" w14:textId="77777777" w:rsidTr="000B16AA">
              <w:tc>
                <w:tcPr>
                  <w:tcW w:w="415" w:type="pct"/>
                </w:tcPr>
                <w:p w14:paraId="1B05E42D"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7</w:t>
                  </w:r>
                </w:p>
              </w:tc>
              <w:tc>
                <w:tcPr>
                  <w:tcW w:w="2866" w:type="pct"/>
                </w:tcPr>
                <w:p w14:paraId="4C0F4F7D" w14:textId="7F8133A7" w:rsidR="00FA1B4D" w:rsidRPr="000B16AA" w:rsidRDefault="00C109B3" w:rsidP="00FA1B4D">
                  <w:pPr>
                    <w:spacing w:line="240" w:lineRule="auto"/>
                    <w:rPr>
                      <w:rFonts w:asciiTheme="minorHAnsi" w:hAnsiTheme="minorHAnsi" w:cstheme="minorHAnsi"/>
                    </w:rPr>
                  </w:pPr>
                  <w:r>
                    <w:rPr>
                      <w:rFonts w:asciiTheme="minorHAnsi" w:hAnsiTheme="minorHAnsi" w:cstheme="minorHAnsi"/>
                    </w:rPr>
                    <w:t>Instalación de aplicaciones informáticas</w:t>
                  </w:r>
                </w:p>
              </w:tc>
              <w:tc>
                <w:tcPr>
                  <w:tcW w:w="605" w:type="pct"/>
                </w:tcPr>
                <w:p w14:paraId="026950A5" w14:textId="294AF224"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10</w:t>
                  </w:r>
                </w:p>
              </w:tc>
              <w:tc>
                <w:tcPr>
                  <w:tcW w:w="1114" w:type="pct"/>
                </w:tcPr>
                <w:p w14:paraId="1D478271" w14:textId="0B3BFFC4"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5.88</w:t>
                  </w:r>
                  <w:r w:rsidR="00A0228B">
                    <w:rPr>
                      <w:rFonts w:asciiTheme="minorHAnsi" w:hAnsiTheme="minorHAnsi" w:cstheme="minorHAnsi"/>
                    </w:rPr>
                    <w:t>%</w:t>
                  </w:r>
                </w:p>
              </w:tc>
            </w:tr>
            <w:tr w:rsidR="00FA1B4D" w:rsidRPr="000B16AA" w14:paraId="339CC853" w14:textId="77777777" w:rsidTr="000B16AA">
              <w:tc>
                <w:tcPr>
                  <w:tcW w:w="415" w:type="pct"/>
                </w:tcPr>
                <w:p w14:paraId="20D0D291"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8</w:t>
                  </w:r>
                </w:p>
              </w:tc>
              <w:tc>
                <w:tcPr>
                  <w:tcW w:w="2866" w:type="pct"/>
                </w:tcPr>
                <w:p w14:paraId="062ABC93" w14:textId="1D363307" w:rsidR="00FA1B4D" w:rsidRPr="000B16AA" w:rsidRDefault="00C109B3" w:rsidP="00FA1B4D">
                  <w:pPr>
                    <w:spacing w:line="240" w:lineRule="auto"/>
                    <w:rPr>
                      <w:rFonts w:asciiTheme="minorHAnsi" w:hAnsiTheme="minorHAnsi" w:cstheme="minorHAnsi"/>
                    </w:rPr>
                  </w:pPr>
                  <w:r>
                    <w:rPr>
                      <w:rFonts w:asciiTheme="minorHAnsi" w:hAnsiTheme="minorHAnsi" w:cstheme="minorHAnsi"/>
                    </w:rPr>
                    <w:t>Manejo de aplicaciones informáticas</w:t>
                  </w:r>
                </w:p>
              </w:tc>
              <w:tc>
                <w:tcPr>
                  <w:tcW w:w="605" w:type="pct"/>
                </w:tcPr>
                <w:p w14:paraId="30911A36" w14:textId="7B6AC958"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10</w:t>
                  </w:r>
                </w:p>
              </w:tc>
              <w:tc>
                <w:tcPr>
                  <w:tcW w:w="1114" w:type="pct"/>
                </w:tcPr>
                <w:p w14:paraId="49A7560B" w14:textId="5D528EA7"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5.88%</w:t>
                  </w:r>
                </w:p>
              </w:tc>
            </w:tr>
            <w:tr w:rsidR="00FA1B4D" w:rsidRPr="000B16AA" w14:paraId="36417306" w14:textId="77777777" w:rsidTr="000B16AA">
              <w:tc>
                <w:tcPr>
                  <w:tcW w:w="415" w:type="pct"/>
                </w:tcPr>
                <w:p w14:paraId="20BDFA50"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9</w:t>
                  </w:r>
                </w:p>
              </w:tc>
              <w:tc>
                <w:tcPr>
                  <w:tcW w:w="2866" w:type="pct"/>
                </w:tcPr>
                <w:p w14:paraId="33388097" w14:textId="42B8983B" w:rsidR="00FA1B4D" w:rsidRPr="000B16AA" w:rsidRDefault="00C109B3" w:rsidP="00FA1B4D">
                  <w:pPr>
                    <w:spacing w:line="240" w:lineRule="auto"/>
                    <w:rPr>
                      <w:rFonts w:asciiTheme="minorHAnsi" w:hAnsiTheme="minorHAnsi" w:cstheme="minorHAnsi"/>
                    </w:rPr>
                  </w:pPr>
                  <w:r>
                    <w:rPr>
                      <w:rFonts w:asciiTheme="minorHAnsi" w:hAnsiTheme="minorHAnsi" w:cstheme="minorHAnsi"/>
                    </w:rPr>
                    <w:t>Instalación de herramientas informáticas</w:t>
                  </w:r>
                </w:p>
              </w:tc>
              <w:tc>
                <w:tcPr>
                  <w:tcW w:w="605" w:type="pct"/>
                </w:tcPr>
                <w:p w14:paraId="19A9FD2B" w14:textId="3F62BD36"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14</w:t>
                  </w:r>
                </w:p>
              </w:tc>
              <w:tc>
                <w:tcPr>
                  <w:tcW w:w="1114" w:type="pct"/>
                </w:tcPr>
                <w:p w14:paraId="29622C12" w14:textId="7ADF8A72"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8.23%</w:t>
                  </w:r>
                </w:p>
              </w:tc>
            </w:tr>
            <w:tr w:rsidR="00FA1B4D" w:rsidRPr="000B16AA" w14:paraId="7143F678" w14:textId="77777777" w:rsidTr="000B16AA">
              <w:tc>
                <w:tcPr>
                  <w:tcW w:w="415" w:type="pct"/>
                </w:tcPr>
                <w:p w14:paraId="07E687C6"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10</w:t>
                  </w:r>
                </w:p>
              </w:tc>
              <w:tc>
                <w:tcPr>
                  <w:tcW w:w="2866" w:type="pct"/>
                </w:tcPr>
                <w:p w14:paraId="31F35B32" w14:textId="3DEA3CED" w:rsidR="00FA1B4D" w:rsidRPr="000B16AA" w:rsidRDefault="00C109B3" w:rsidP="00FA1B4D">
                  <w:pPr>
                    <w:spacing w:line="240" w:lineRule="auto"/>
                    <w:rPr>
                      <w:rFonts w:asciiTheme="minorHAnsi" w:hAnsiTheme="minorHAnsi" w:cstheme="minorHAnsi"/>
                    </w:rPr>
                  </w:pPr>
                  <w:r>
                    <w:rPr>
                      <w:rFonts w:asciiTheme="minorHAnsi" w:hAnsiTheme="minorHAnsi" w:cstheme="minorHAnsi"/>
                    </w:rPr>
                    <w:t>Manejo de herramientas informáticas</w:t>
                  </w:r>
                </w:p>
              </w:tc>
              <w:tc>
                <w:tcPr>
                  <w:tcW w:w="605" w:type="pct"/>
                </w:tcPr>
                <w:p w14:paraId="5FFE63B4" w14:textId="75BD90C6"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11</w:t>
                  </w:r>
                </w:p>
              </w:tc>
              <w:tc>
                <w:tcPr>
                  <w:tcW w:w="1114" w:type="pct"/>
                </w:tcPr>
                <w:p w14:paraId="3D43E8BA" w14:textId="78AFA77E" w:rsidR="003F764B" w:rsidRPr="000B16AA" w:rsidRDefault="005A5523" w:rsidP="003F764B">
                  <w:pPr>
                    <w:spacing w:line="240" w:lineRule="auto"/>
                    <w:jc w:val="center"/>
                    <w:rPr>
                      <w:rFonts w:asciiTheme="minorHAnsi" w:hAnsiTheme="minorHAnsi" w:cstheme="minorHAnsi"/>
                    </w:rPr>
                  </w:pPr>
                  <w:r>
                    <w:rPr>
                      <w:rFonts w:asciiTheme="minorHAnsi" w:hAnsiTheme="minorHAnsi" w:cstheme="minorHAnsi"/>
                    </w:rPr>
                    <w:t>6.47</w:t>
                  </w:r>
                  <w:r w:rsidR="00A0228B">
                    <w:rPr>
                      <w:rFonts w:asciiTheme="minorHAnsi" w:hAnsiTheme="minorHAnsi" w:cstheme="minorHAnsi"/>
                    </w:rPr>
                    <w:t>%</w:t>
                  </w:r>
                </w:p>
              </w:tc>
            </w:tr>
            <w:tr w:rsidR="00FA1B4D" w:rsidRPr="000B16AA" w14:paraId="7E6636DE" w14:textId="77777777" w:rsidTr="000B16AA">
              <w:tc>
                <w:tcPr>
                  <w:tcW w:w="415" w:type="pct"/>
                </w:tcPr>
                <w:p w14:paraId="57533DB2" w14:textId="77777777" w:rsidR="00FA1B4D" w:rsidRPr="000B16AA" w:rsidRDefault="00FA1B4D" w:rsidP="00FA1B4D">
                  <w:pPr>
                    <w:spacing w:line="240" w:lineRule="auto"/>
                    <w:jc w:val="center"/>
                    <w:rPr>
                      <w:rFonts w:asciiTheme="minorHAnsi" w:hAnsiTheme="minorHAnsi" w:cstheme="minorHAnsi"/>
                    </w:rPr>
                  </w:pPr>
                  <w:r w:rsidRPr="000B16AA">
                    <w:rPr>
                      <w:rFonts w:asciiTheme="minorHAnsi" w:hAnsiTheme="minorHAnsi" w:cstheme="minorHAnsi"/>
                    </w:rPr>
                    <w:t>11</w:t>
                  </w:r>
                </w:p>
              </w:tc>
              <w:tc>
                <w:tcPr>
                  <w:tcW w:w="2866" w:type="pct"/>
                </w:tcPr>
                <w:p w14:paraId="2F72C948" w14:textId="100108E9" w:rsidR="00FA1B4D" w:rsidRPr="000B16AA" w:rsidRDefault="00C109B3" w:rsidP="00FA1B4D">
                  <w:pPr>
                    <w:spacing w:line="240" w:lineRule="auto"/>
                    <w:rPr>
                      <w:rFonts w:asciiTheme="minorHAnsi" w:hAnsiTheme="minorHAnsi" w:cstheme="minorHAnsi"/>
                    </w:rPr>
                  </w:pPr>
                  <w:r>
                    <w:rPr>
                      <w:rFonts w:asciiTheme="minorHAnsi" w:hAnsiTheme="minorHAnsi" w:cstheme="minorHAnsi"/>
                    </w:rPr>
                    <w:t>Mantenimiento de equipos informáticos</w:t>
                  </w:r>
                </w:p>
              </w:tc>
              <w:tc>
                <w:tcPr>
                  <w:tcW w:w="605" w:type="pct"/>
                </w:tcPr>
                <w:p w14:paraId="61A08D0C" w14:textId="5780B0D5" w:rsidR="00FA1B4D" w:rsidRPr="000B16AA" w:rsidRDefault="00C109B3" w:rsidP="00FA1B4D">
                  <w:pPr>
                    <w:spacing w:line="240" w:lineRule="auto"/>
                    <w:jc w:val="center"/>
                    <w:rPr>
                      <w:rFonts w:asciiTheme="minorHAnsi" w:hAnsiTheme="minorHAnsi" w:cstheme="minorHAnsi"/>
                    </w:rPr>
                  </w:pPr>
                  <w:r>
                    <w:rPr>
                      <w:rFonts w:asciiTheme="minorHAnsi" w:hAnsiTheme="minorHAnsi" w:cstheme="minorHAnsi"/>
                    </w:rPr>
                    <w:t>32</w:t>
                  </w:r>
                </w:p>
              </w:tc>
              <w:tc>
                <w:tcPr>
                  <w:tcW w:w="1114" w:type="pct"/>
                </w:tcPr>
                <w:p w14:paraId="674FE08C" w14:textId="48BA9110" w:rsidR="00FA1B4D" w:rsidRPr="000B16AA" w:rsidRDefault="005A5523" w:rsidP="00FA1B4D">
                  <w:pPr>
                    <w:spacing w:line="240" w:lineRule="auto"/>
                    <w:jc w:val="center"/>
                    <w:rPr>
                      <w:rFonts w:asciiTheme="minorHAnsi" w:hAnsiTheme="minorHAnsi" w:cstheme="minorHAnsi"/>
                    </w:rPr>
                  </w:pPr>
                  <w:r>
                    <w:rPr>
                      <w:rFonts w:asciiTheme="minorHAnsi" w:hAnsiTheme="minorHAnsi" w:cstheme="minorHAnsi"/>
                    </w:rPr>
                    <w:t>18.82</w:t>
                  </w:r>
                  <w:r w:rsidR="00A0228B">
                    <w:rPr>
                      <w:rFonts w:asciiTheme="minorHAnsi" w:hAnsiTheme="minorHAnsi" w:cstheme="minorHAnsi"/>
                    </w:rPr>
                    <w:t>%</w:t>
                  </w:r>
                </w:p>
              </w:tc>
            </w:tr>
          </w:tbl>
          <w:p w14:paraId="3253E4F3" w14:textId="77777777" w:rsidR="00E7455E" w:rsidRDefault="00E7455E" w:rsidP="00586065"/>
          <w:p w14:paraId="57831352" w14:textId="77777777" w:rsidR="00586065" w:rsidRDefault="00586065" w:rsidP="00586065">
            <w:r>
              <w:t>La calificación final de cada evaluación tendrá una nota numérica en un rango del 1 al 10. La evaluación se considerará superada cuando la calificación sea igual o superior a 5.</w:t>
            </w:r>
          </w:p>
          <w:p w14:paraId="5A8910D9" w14:textId="77777777" w:rsidR="00586065" w:rsidRDefault="00586065" w:rsidP="00586065">
            <w:r>
              <w:t>Cada evaluación existe oportunidad de recuperar partes de la evaluación anterior, por lo que la nota de las sucesivas evaluaciones incluye la nota anterior.</w:t>
            </w:r>
          </w:p>
          <w:p w14:paraId="5758296D" w14:textId="77777777" w:rsidR="00586065" w:rsidRDefault="00586065" w:rsidP="00586065">
            <w:r>
              <w:t>Por lo que, para superar el módulo, es necesario que la nota de la tercera evaluación sea igual o superior a 5.</w:t>
            </w:r>
          </w:p>
          <w:p w14:paraId="6C3A1735" w14:textId="77777777" w:rsidR="00FD50A2" w:rsidRDefault="00FD50A2" w:rsidP="003C3343">
            <w:pPr>
              <w:jc w:val="both"/>
            </w:pPr>
          </w:p>
          <w:p w14:paraId="0B993994" w14:textId="77777777" w:rsidR="00FD50A2" w:rsidRPr="0010367A" w:rsidRDefault="00FD50A2" w:rsidP="003C3343">
            <w:pPr>
              <w:jc w:val="both"/>
              <w:rPr>
                <w:b/>
                <w:i/>
                <w:u w:val="single"/>
              </w:rPr>
            </w:pPr>
            <w:r w:rsidRPr="0010367A">
              <w:rPr>
                <w:b/>
                <w:i/>
                <w:u w:val="single"/>
              </w:rPr>
              <w:t>RECUPERACIÓN</w:t>
            </w:r>
          </w:p>
          <w:p w14:paraId="104296D8" w14:textId="77777777" w:rsidR="00586065" w:rsidRDefault="00586065" w:rsidP="00586065">
            <w:r>
              <w:t>A finales de cada evaluación se realizarán pruebas teórico-prácticas en las que el alumnado con una o más evaluaciones pendientes podrá ejercer su derecho a recuperar las partes que tenga suspensas.</w:t>
            </w:r>
          </w:p>
          <w:p w14:paraId="65A19929" w14:textId="77777777" w:rsidR="00586065" w:rsidRDefault="00586065" w:rsidP="00586065">
            <w:r>
              <w:t>Al finalizar el tercer trimestre podrá realizar un examen final que incluirá las partes específicas para recuperar cada una de las partes, las cuales serán calificadas de forma independiente con una puntuación de 0 a 10 debiendo obtener al menos una puntuación de 5 para superar dichas pruebas. Estando su nota final comprendida en un rango de 1 a 10 y necesitando obtener al menos una puntuación de 5 para superar el módulo.</w:t>
            </w:r>
          </w:p>
          <w:p w14:paraId="037D98AF" w14:textId="77777777" w:rsidR="00FD50A2" w:rsidRPr="00AF4A68" w:rsidRDefault="00FD50A2" w:rsidP="003C3343">
            <w:pPr>
              <w:jc w:val="both"/>
              <w:rPr>
                <w:b/>
                <w:i/>
                <w:u w:val="single"/>
              </w:rPr>
            </w:pPr>
            <w:r w:rsidRPr="00AF4A68">
              <w:rPr>
                <w:b/>
                <w:i/>
                <w:u w:val="single"/>
              </w:rPr>
              <w:t>EVALUACIÓN Y FALTAS DE ASISTENCIA</w:t>
            </w:r>
          </w:p>
          <w:p w14:paraId="04571C70" w14:textId="77777777" w:rsidR="00586065" w:rsidRPr="00C90748" w:rsidRDefault="00586065" w:rsidP="000B16AA">
            <w:r>
              <w:t>Debemos recordar que la asistencia es obligatoria, y es muy importante la asistencia regular a clase. Las faltas reiteradas pueden conllevar que el alumnado no pueda realizar las pruebas o las prácticas en sus tiempos previstos por la temporización de la programación y en el devenir del curso, y por ello tenga que hacerlos en los períodos de recuperación.</w:t>
            </w:r>
          </w:p>
        </w:tc>
        <w:tc>
          <w:tcPr>
            <w:tcW w:w="2212" w:type="dxa"/>
            <w:tcBorders>
              <w:top w:val="double" w:sz="4" w:space="0" w:color="auto"/>
              <w:bottom w:val="double" w:sz="4" w:space="0" w:color="auto"/>
            </w:tcBorders>
          </w:tcPr>
          <w:p w14:paraId="1CEAA445" w14:textId="77777777" w:rsidR="00FD50A2" w:rsidRDefault="00FD50A2" w:rsidP="003C3343">
            <w:pPr>
              <w:jc w:val="both"/>
            </w:pPr>
          </w:p>
        </w:tc>
      </w:tr>
      <w:tr w:rsidR="00FD50A2" w:rsidRPr="00A32F79" w14:paraId="57279FAB" w14:textId="77777777" w:rsidTr="00586065">
        <w:tc>
          <w:tcPr>
            <w:tcW w:w="7940" w:type="dxa"/>
            <w:gridSpan w:val="3"/>
            <w:tcBorders>
              <w:top w:val="double" w:sz="4" w:space="0" w:color="auto"/>
              <w:bottom w:val="double" w:sz="4" w:space="0" w:color="auto"/>
            </w:tcBorders>
            <w:shd w:val="clear" w:color="auto" w:fill="003300"/>
            <w:vAlign w:val="center"/>
          </w:tcPr>
          <w:p w14:paraId="2B42158A" w14:textId="77777777" w:rsidR="00FD50A2" w:rsidRPr="00A32F79" w:rsidRDefault="00FD50A2" w:rsidP="003C3343">
            <w:pPr>
              <w:spacing w:after="0"/>
              <w:jc w:val="both"/>
              <w:rPr>
                <w:rFonts w:cs="Arial"/>
                <w:b/>
                <w:bCs/>
                <w:noProof/>
                <w:lang w:val="es-ES" w:eastAsia="es-ES"/>
              </w:rPr>
            </w:pPr>
            <w:r w:rsidRPr="00A32F79">
              <w:rPr>
                <w:rFonts w:cs="Arial"/>
                <w:b/>
                <w:bCs/>
                <w:noProof/>
                <w:lang w:val="es-ES" w:eastAsia="es-ES"/>
              </w:rPr>
              <w:t>CRITERIOS Y PROCEDIMIENTOS DE EVALUACIÓN Y CALIFICACIÓN DE LAS MATERIAS PENDIENTES DEL CURSO ANTERIOR</w:t>
            </w:r>
          </w:p>
        </w:tc>
        <w:tc>
          <w:tcPr>
            <w:tcW w:w="2212" w:type="dxa"/>
            <w:tcBorders>
              <w:top w:val="double" w:sz="4" w:space="0" w:color="auto"/>
              <w:bottom w:val="double" w:sz="4" w:space="0" w:color="auto"/>
            </w:tcBorders>
            <w:shd w:val="clear" w:color="auto" w:fill="003300"/>
          </w:tcPr>
          <w:p w14:paraId="214109F4" w14:textId="77777777" w:rsidR="00FD50A2" w:rsidRPr="00A32F79" w:rsidRDefault="00FD50A2" w:rsidP="003C3343">
            <w:pPr>
              <w:spacing w:after="0"/>
              <w:jc w:val="both"/>
              <w:rPr>
                <w:rFonts w:cs="Arial"/>
                <w:b/>
                <w:bCs/>
                <w:noProof/>
                <w:lang w:val="es-ES" w:eastAsia="es-ES"/>
              </w:rPr>
            </w:pPr>
          </w:p>
        </w:tc>
      </w:tr>
      <w:tr w:rsidR="00FD50A2" w:rsidRPr="00A32F79" w14:paraId="1C1A0133" w14:textId="77777777" w:rsidTr="00586065">
        <w:tc>
          <w:tcPr>
            <w:tcW w:w="7940" w:type="dxa"/>
            <w:gridSpan w:val="3"/>
            <w:tcBorders>
              <w:top w:val="double" w:sz="4" w:space="0" w:color="auto"/>
              <w:bottom w:val="double" w:sz="4" w:space="0" w:color="auto"/>
            </w:tcBorders>
          </w:tcPr>
          <w:p w14:paraId="26254EA5" w14:textId="77777777" w:rsidR="00FD50A2" w:rsidRPr="009F6B16" w:rsidRDefault="00FD50A2" w:rsidP="009F6B16">
            <w:r w:rsidRPr="009F6B16">
              <w:lastRenderedPageBreak/>
              <w:t>NO HAY PENDIENTES DEL CURSO ANTERIOR</w:t>
            </w:r>
          </w:p>
          <w:p w14:paraId="0046DC86" w14:textId="77777777" w:rsidR="00FD50A2" w:rsidRDefault="00FD50A2" w:rsidP="003C3343">
            <w:pPr>
              <w:jc w:val="both"/>
            </w:pPr>
          </w:p>
          <w:p w14:paraId="3986A638" w14:textId="77777777" w:rsidR="00FD50A2" w:rsidRDefault="00FD50A2" w:rsidP="003C3343">
            <w:pPr>
              <w:jc w:val="both"/>
            </w:pPr>
          </w:p>
          <w:p w14:paraId="7DA38C41" w14:textId="77777777" w:rsidR="00FD50A2" w:rsidRDefault="00FD50A2" w:rsidP="003C3343">
            <w:pPr>
              <w:jc w:val="both"/>
            </w:pPr>
          </w:p>
          <w:p w14:paraId="0648A702" w14:textId="77777777" w:rsidR="00FD50A2" w:rsidRDefault="00FD50A2" w:rsidP="003C3343">
            <w:pPr>
              <w:jc w:val="both"/>
            </w:pPr>
          </w:p>
          <w:p w14:paraId="2C3BA1EA" w14:textId="77777777" w:rsidR="00FD50A2" w:rsidRDefault="00FD50A2" w:rsidP="003C3343">
            <w:pPr>
              <w:jc w:val="both"/>
            </w:pPr>
          </w:p>
          <w:p w14:paraId="06BF4B9A" w14:textId="77777777" w:rsidR="00FD50A2" w:rsidRDefault="00FD50A2" w:rsidP="003C3343">
            <w:pPr>
              <w:jc w:val="both"/>
            </w:pPr>
          </w:p>
          <w:p w14:paraId="73C41242" w14:textId="77777777" w:rsidR="00FD50A2" w:rsidRDefault="00FD50A2" w:rsidP="003C3343">
            <w:pPr>
              <w:jc w:val="both"/>
            </w:pPr>
          </w:p>
          <w:p w14:paraId="43FD5A79" w14:textId="77777777" w:rsidR="00FD50A2" w:rsidRDefault="00FD50A2" w:rsidP="003C3343">
            <w:pPr>
              <w:jc w:val="both"/>
            </w:pPr>
          </w:p>
          <w:p w14:paraId="6984AE65" w14:textId="77777777" w:rsidR="00FD50A2" w:rsidRDefault="00FD50A2" w:rsidP="003C3343">
            <w:pPr>
              <w:jc w:val="both"/>
            </w:pPr>
          </w:p>
          <w:p w14:paraId="22233BC0" w14:textId="77777777" w:rsidR="00FD50A2" w:rsidRDefault="00FD50A2" w:rsidP="003C3343">
            <w:pPr>
              <w:jc w:val="both"/>
            </w:pPr>
          </w:p>
          <w:p w14:paraId="3CB7ED2C" w14:textId="77777777" w:rsidR="00FD50A2" w:rsidRPr="00C90748" w:rsidRDefault="00FD50A2" w:rsidP="003C3343">
            <w:pPr>
              <w:jc w:val="both"/>
            </w:pPr>
          </w:p>
        </w:tc>
        <w:tc>
          <w:tcPr>
            <w:tcW w:w="2212" w:type="dxa"/>
            <w:tcBorders>
              <w:top w:val="double" w:sz="4" w:space="0" w:color="auto"/>
              <w:bottom w:val="double" w:sz="4" w:space="0" w:color="auto"/>
            </w:tcBorders>
          </w:tcPr>
          <w:p w14:paraId="77128234" w14:textId="77777777" w:rsidR="00FD50A2" w:rsidRDefault="00FD50A2" w:rsidP="003C3343">
            <w:pPr>
              <w:jc w:val="both"/>
            </w:pPr>
          </w:p>
        </w:tc>
      </w:tr>
      <w:tr w:rsidR="00FD50A2" w:rsidRPr="00A32F79" w14:paraId="4C38346A" w14:textId="77777777" w:rsidTr="00586065">
        <w:tc>
          <w:tcPr>
            <w:tcW w:w="7940" w:type="dxa"/>
            <w:gridSpan w:val="3"/>
            <w:tcBorders>
              <w:top w:val="double" w:sz="4" w:space="0" w:color="auto"/>
              <w:bottom w:val="double" w:sz="4" w:space="0" w:color="auto"/>
            </w:tcBorders>
            <w:shd w:val="clear" w:color="auto" w:fill="003300"/>
          </w:tcPr>
          <w:p w14:paraId="2CACC231" w14:textId="77777777" w:rsidR="00FD50A2" w:rsidRPr="001B7866" w:rsidRDefault="00FD50A2" w:rsidP="001B7866">
            <w:pPr>
              <w:pStyle w:val="Informacionesfinales"/>
            </w:pPr>
            <w:bookmarkStart w:id="0" w:name="_Toc469382815"/>
            <w:r w:rsidRPr="001B7866">
              <w:t>INFORMACIÓN SOBRE EL DERECHO A FORMULAR RECLAMACIONES SOBRE LAS CALIFICACIONES OBTENIDAS A LA FINALIZACIÓN DE CADA CURSO Y SOBRE LA DECISIÓN DE PROMOCIÓN Y TITULACIÓN</w:t>
            </w:r>
            <w:bookmarkEnd w:id="0"/>
          </w:p>
        </w:tc>
        <w:tc>
          <w:tcPr>
            <w:tcW w:w="2212" w:type="dxa"/>
            <w:tcBorders>
              <w:top w:val="double" w:sz="4" w:space="0" w:color="auto"/>
              <w:bottom w:val="double" w:sz="4" w:space="0" w:color="auto"/>
            </w:tcBorders>
            <w:shd w:val="clear" w:color="auto" w:fill="003300"/>
          </w:tcPr>
          <w:p w14:paraId="7AA2A245" w14:textId="77777777" w:rsidR="00FD50A2" w:rsidRPr="001B7866" w:rsidRDefault="00FD50A2" w:rsidP="001B7866">
            <w:pPr>
              <w:pStyle w:val="Informacionesfinales"/>
            </w:pPr>
          </w:p>
        </w:tc>
      </w:tr>
      <w:tr w:rsidR="00FD50A2" w:rsidRPr="00A32F79" w14:paraId="31DFA408" w14:textId="77777777" w:rsidTr="00586065">
        <w:tc>
          <w:tcPr>
            <w:tcW w:w="7940" w:type="dxa"/>
            <w:gridSpan w:val="3"/>
            <w:tcBorders>
              <w:top w:val="double" w:sz="4" w:space="0" w:color="auto"/>
            </w:tcBorders>
          </w:tcPr>
          <w:p w14:paraId="233FB062" w14:textId="77777777" w:rsidR="00FD50A2" w:rsidRPr="00A32F79" w:rsidRDefault="00FD50A2" w:rsidP="000A06E0">
            <w:pPr>
              <w:autoSpaceDE w:val="0"/>
              <w:autoSpaceDN w:val="0"/>
              <w:adjustRightInd w:val="0"/>
              <w:spacing w:after="0"/>
              <w:jc w:val="both"/>
              <w:rPr>
                <w:rFonts w:eastAsia="ArialNarrow" w:cs="Arial"/>
                <w:b/>
                <w:lang w:val="es-ES" w:eastAsia="es-ES"/>
              </w:rPr>
            </w:pPr>
          </w:p>
          <w:p w14:paraId="5D5E6C54" w14:textId="77777777"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14:paraId="0A6EAC5C" w14:textId="77777777"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14:paraId="52D6F0BB"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14:paraId="1ADE0F53" w14:textId="77777777" w:rsidR="00FD50A2" w:rsidRPr="00A32F79" w:rsidRDefault="00FD50A2" w:rsidP="000A06E0">
            <w:pPr>
              <w:autoSpaceDE w:val="0"/>
              <w:autoSpaceDN w:val="0"/>
              <w:adjustRightInd w:val="0"/>
              <w:spacing w:after="0"/>
              <w:jc w:val="both"/>
              <w:rPr>
                <w:rFonts w:eastAsia="ArialNarrow" w:cs="Arial"/>
                <w:lang w:val="es-ES" w:eastAsia="es-ES"/>
              </w:rPr>
            </w:pPr>
          </w:p>
          <w:p w14:paraId="53FEB160"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14:paraId="6CE7A1FD" w14:textId="77777777" w:rsidR="00FD50A2" w:rsidRPr="00A32F79" w:rsidRDefault="00FD50A2" w:rsidP="000A06E0">
            <w:pPr>
              <w:autoSpaceDE w:val="0"/>
              <w:autoSpaceDN w:val="0"/>
              <w:adjustRightInd w:val="0"/>
              <w:spacing w:after="0"/>
              <w:jc w:val="both"/>
              <w:rPr>
                <w:rFonts w:eastAsia="ArialNarrow" w:cs="Arial"/>
                <w:b/>
                <w:lang w:val="es-ES" w:eastAsia="es-ES"/>
              </w:rPr>
            </w:pPr>
          </w:p>
          <w:p w14:paraId="0D3E5941" w14:textId="77777777" w:rsidR="00FD50A2" w:rsidRPr="00A32F79" w:rsidRDefault="00586065"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Artículo</w:t>
            </w:r>
            <w:r w:rsidR="00FD50A2" w:rsidRPr="00A32F79">
              <w:rPr>
                <w:rFonts w:eastAsia="ArialNarrow" w:cs="Arial"/>
                <w:b/>
                <w:lang w:val="es-ES" w:eastAsia="es-ES"/>
              </w:rPr>
              <w:t xml:space="preserve"> 3. Derechos del alumnado.</w:t>
            </w:r>
          </w:p>
          <w:p w14:paraId="2BF2CD49"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p>
          <w:p w14:paraId="1CBA259D"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“El alumnado tiene derecho: [...]</w:t>
            </w:r>
          </w:p>
          <w:p w14:paraId="2C41C570"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p>
          <w:p w14:paraId="72402583"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14:paraId="21EC0BE7" w14:textId="77777777"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14:paraId="77915363" w14:textId="77777777" w:rsidR="00FD50A2" w:rsidRDefault="00FD50A2" w:rsidP="000A06E0">
            <w:pPr>
              <w:autoSpaceDE w:val="0"/>
              <w:autoSpaceDN w:val="0"/>
              <w:adjustRightInd w:val="0"/>
              <w:spacing w:after="0"/>
              <w:jc w:val="both"/>
              <w:rPr>
                <w:rFonts w:eastAsia="ArialNarrow" w:cs="Arial"/>
                <w:lang w:val="es-ES" w:eastAsia="es-ES"/>
              </w:rPr>
            </w:pPr>
          </w:p>
          <w:p w14:paraId="1D38FF31" w14:textId="77777777" w:rsidR="00610147" w:rsidRDefault="00610147" w:rsidP="000A06E0">
            <w:pPr>
              <w:autoSpaceDE w:val="0"/>
              <w:autoSpaceDN w:val="0"/>
              <w:adjustRightInd w:val="0"/>
              <w:spacing w:after="0"/>
              <w:jc w:val="both"/>
              <w:rPr>
                <w:rFonts w:eastAsia="ArialNarrow" w:cs="Arial"/>
                <w:lang w:val="es-ES" w:eastAsia="es-ES"/>
              </w:rPr>
            </w:pPr>
          </w:p>
          <w:p w14:paraId="2EA2C8F4" w14:textId="77777777" w:rsidR="00610147" w:rsidRDefault="00610147" w:rsidP="000A06E0">
            <w:pPr>
              <w:autoSpaceDE w:val="0"/>
              <w:autoSpaceDN w:val="0"/>
              <w:adjustRightInd w:val="0"/>
              <w:spacing w:after="0"/>
              <w:jc w:val="both"/>
              <w:rPr>
                <w:rFonts w:eastAsia="ArialNarrow" w:cs="Arial"/>
                <w:lang w:val="es-ES" w:eastAsia="es-ES"/>
              </w:rPr>
            </w:pPr>
          </w:p>
          <w:p w14:paraId="3603FD6D" w14:textId="77777777" w:rsidR="00610147" w:rsidRDefault="00610147" w:rsidP="000A06E0">
            <w:pPr>
              <w:autoSpaceDE w:val="0"/>
              <w:autoSpaceDN w:val="0"/>
              <w:adjustRightInd w:val="0"/>
              <w:spacing w:after="0"/>
              <w:jc w:val="both"/>
              <w:rPr>
                <w:rFonts w:eastAsia="ArialNarrow" w:cs="Arial"/>
                <w:lang w:val="es-ES" w:eastAsia="es-ES"/>
              </w:rPr>
            </w:pPr>
          </w:p>
          <w:p w14:paraId="521E0EB2" w14:textId="77777777" w:rsidR="00610147" w:rsidRDefault="00610147" w:rsidP="000A06E0">
            <w:pPr>
              <w:autoSpaceDE w:val="0"/>
              <w:autoSpaceDN w:val="0"/>
              <w:adjustRightInd w:val="0"/>
              <w:spacing w:after="0"/>
              <w:jc w:val="both"/>
              <w:rPr>
                <w:rFonts w:eastAsia="ArialNarrow" w:cs="Arial"/>
                <w:lang w:val="es-ES" w:eastAsia="es-ES"/>
              </w:rPr>
            </w:pPr>
          </w:p>
          <w:p w14:paraId="6626A32B" w14:textId="77777777" w:rsidR="009F6B16" w:rsidRPr="00A32F79" w:rsidRDefault="009F6B16" w:rsidP="000A06E0">
            <w:pPr>
              <w:autoSpaceDE w:val="0"/>
              <w:autoSpaceDN w:val="0"/>
              <w:adjustRightInd w:val="0"/>
              <w:spacing w:after="0"/>
              <w:jc w:val="both"/>
              <w:rPr>
                <w:rFonts w:eastAsia="ArialNarrow" w:cs="Arial"/>
                <w:lang w:val="es-ES" w:eastAsia="es-ES"/>
              </w:rPr>
            </w:pPr>
          </w:p>
          <w:p w14:paraId="734EA706" w14:textId="77777777"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14:paraId="2B6A7B6E" w14:textId="77777777"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lastRenderedPageBreak/>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14:paraId="2F0DF451"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w:t>
            </w:r>
            <w:r w:rsidR="00586065" w:rsidRPr="00717BBD">
              <w:rPr>
                <w:rFonts w:ascii="Calibri" w:eastAsia="ArialNarrow" w:hAnsi="Calibri" w:cs="Arial"/>
                <w:sz w:val="24"/>
                <w:szCs w:val="24"/>
                <w:lang w:val="es-ES"/>
              </w:rPr>
              <w:t>ámbito, o</w:t>
            </w:r>
            <w:r w:rsidRPr="00717BBD">
              <w:rPr>
                <w:rFonts w:ascii="Calibri" w:eastAsia="ArialNarrow" w:hAnsi="Calibri" w:cs="Arial"/>
                <w:sz w:val="24"/>
                <w:szCs w:val="24"/>
                <w:lang w:val="es-ES"/>
              </w:rPr>
              <w:t xml:space="preserve">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14:paraId="45629A99"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14:paraId="72D1AAE2"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14:paraId="70958EFE"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14:paraId="349B9FE2" w14:textId="77777777"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14:paraId="51517372" w14:textId="77777777" w:rsidR="00FD50A2" w:rsidRPr="00A32F79" w:rsidRDefault="00FD50A2" w:rsidP="008A06A9">
            <w:pPr>
              <w:spacing w:after="0"/>
              <w:jc w:val="both"/>
              <w:rPr>
                <w:rFonts w:cs="Arial"/>
                <w:b/>
                <w:i/>
                <w:noProof/>
                <w:lang w:val="es-ES" w:eastAsia="es-ES"/>
              </w:rPr>
            </w:pPr>
          </w:p>
        </w:tc>
        <w:tc>
          <w:tcPr>
            <w:tcW w:w="2212" w:type="dxa"/>
            <w:tcBorders>
              <w:top w:val="double" w:sz="4" w:space="0" w:color="auto"/>
            </w:tcBorders>
          </w:tcPr>
          <w:p w14:paraId="3CC6CE28" w14:textId="77777777" w:rsidR="00FD50A2" w:rsidRPr="00A32F79" w:rsidRDefault="00FD50A2" w:rsidP="000A06E0">
            <w:pPr>
              <w:autoSpaceDE w:val="0"/>
              <w:autoSpaceDN w:val="0"/>
              <w:adjustRightInd w:val="0"/>
              <w:spacing w:after="0"/>
              <w:jc w:val="both"/>
              <w:rPr>
                <w:rFonts w:eastAsia="ArialNarrow" w:cs="Arial"/>
                <w:b/>
                <w:lang w:val="es-ES" w:eastAsia="es-ES"/>
              </w:rPr>
            </w:pPr>
          </w:p>
        </w:tc>
      </w:tr>
    </w:tbl>
    <w:p w14:paraId="6BA49607" w14:textId="77777777"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4957" w14:textId="77777777" w:rsidR="003713CC" w:rsidRDefault="003713CC">
      <w:r>
        <w:separator/>
      </w:r>
    </w:p>
  </w:endnote>
  <w:endnote w:type="continuationSeparator" w:id="0">
    <w:p w14:paraId="5758E2DF" w14:textId="77777777" w:rsidR="003713CC" w:rsidRDefault="0037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05A7" w14:textId="77777777"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2721D8" w:rsidRPr="00E46061">
      <w:rPr>
        <w:rFonts w:asciiTheme="minorHAnsi" w:eastAsiaTheme="minorEastAsia" w:hAnsiTheme="minorHAnsi" w:cstheme="minorBidi"/>
        <w:sz w:val="22"/>
        <w:szCs w:val="22"/>
        <w:lang w:val="es-ES"/>
      </w:rPr>
      <w:fldChar w:fldCharType="begin"/>
    </w:r>
    <w:r w:rsidRPr="00E46061">
      <w:rPr>
        <w:lang w:val="es-ES"/>
      </w:rPr>
      <w:instrText>PAGE   \* MERGEFORMAT</w:instrText>
    </w:r>
    <w:r w:rsidR="002721D8" w:rsidRPr="00E46061">
      <w:rPr>
        <w:rFonts w:asciiTheme="minorHAnsi" w:eastAsiaTheme="minorEastAsia" w:hAnsiTheme="minorHAnsi" w:cstheme="minorBidi"/>
        <w:sz w:val="22"/>
        <w:szCs w:val="22"/>
        <w:lang w:val="es-ES"/>
      </w:rPr>
      <w:fldChar w:fldCharType="separate"/>
    </w:r>
    <w:r w:rsidR="00B00834" w:rsidRPr="00B00834">
      <w:rPr>
        <w:rFonts w:asciiTheme="majorHAnsi" w:eastAsiaTheme="majorEastAsia" w:hAnsiTheme="majorHAnsi" w:cstheme="majorBidi"/>
        <w:noProof/>
        <w:color w:val="4F81BD" w:themeColor="accent1"/>
        <w:sz w:val="40"/>
        <w:szCs w:val="40"/>
        <w:lang w:val="es-ES"/>
      </w:rPr>
      <w:t>1</w:t>
    </w:r>
    <w:r w:rsidR="002721D8"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D0B3" w14:textId="77777777" w:rsidR="003713CC" w:rsidRDefault="003713CC">
      <w:r>
        <w:separator/>
      </w:r>
    </w:p>
  </w:footnote>
  <w:footnote w:type="continuationSeparator" w:id="0">
    <w:p w14:paraId="7EBE014C" w14:textId="77777777" w:rsidR="003713CC" w:rsidRDefault="00371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15:restartNumberingAfterBreak="0">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F1DCF"/>
    <w:multiLevelType w:val="hybridMultilevel"/>
    <w:tmpl w:val="724A1A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4" w15:restartNumberingAfterBreak="0">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5" w15:restartNumberingAfterBreak="0">
    <w:nsid w:val="33C55388"/>
    <w:multiLevelType w:val="hybridMultilevel"/>
    <w:tmpl w:val="7EF2B03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137762"/>
    <w:multiLevelType w:val="hybridMultilevel"/>
    <w:tmpl w:val="97701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C4"/>
    <w:rsid w:val="00023066"/>
    <w:rsid w:val="00033200"/>
    <w:rsid w:val="00034856"/>
    <w:rsid w:val="00043EB2"/>
    <w:rsid w:val="000859CB"/>
    <w:rsid w:val="00092C9C"/>
    <w:rsid w:val="000A06E0"/>
    <w:rsid w:val="000A7ADD"/>
    <w:rsid w:val="000B16AA"/>
    <w:rsid w:val="000C0068"/>
    <w:rsid w:val="000D5AD0"/>
    <w:rsid w:val="0010367A"/>
    <w:rsid w:val="00106A11"/>
    <w:rsid w:val="00107EA7"/>
    <w:rsid w:val="00143DD4"/>
    <w:rsid w:val="00145EEE"/>
    <w:rsid w:val="001B07CC"/>
    <w:rsid w:val="001B7866"/>
    <w:rsid w:val="001C1881"/>
    <w:rsid w:val="001C284F"/>
    <w:rsid w:val="001D1162"/>
    <w:rsid w:val="001D3B8B"/>
    <w:rsid w:val="001D4ADB"/>
    <w:rsid w:val="0023624E"/>
    <w:rsid w:val="00236B01"/>
    <w:rsid w:val="002475D9"/>
    <w:rsid w:val="002514A7"/>
    <w:rsid w:val="0027075C"/>
    <w:rsid w:val="002721D8"/>
    <w:rsid w:val="00280BA7"/>
    <w:rsid w:val="002A1CAB"/>
    <w:rsid w:val="002A7935"/>
    <w:rsid w:val="002E3417"/>
    <w:rsid w:val="002E625D"/>
    <w:rsid w:val="00340780"/>
    <w:rsid w:val="00353D54"/>
    <w:rsid w:val="00357269"/>
    <w:rsid w:val="003713CC"/>
    <w:rsid w:val="00382064"/>
    <w:rsid w:val="00393DC2"/>
    <w:rsid w:val="00395808"/>
    <w:rsid w:val="003A347A"/>
    <w:rsid w:val="003C3343"/>
    <w:rsid w:val="003E4921"/>
    <w:rsid w:val="003F764B"/>
    <w:rsid w:val="00400F98"/>
    <w:rsid w:val="0041132F"/>
    <w:rsid w:val="00470D67"/>
    <w:rsid w:val="00492063"/>
    <w:rsid w:val="004B4936"/>
    <w:rsid w:val="004C6FFF"/>
    <w:rsid w:val="004D6EB1"/>
    <w:rsid w:val="004E612A"/>
    <w:rsid w:val="0051687C"/>
    <w:rsid w:val="0053562F"/>
    <w:rsid w:val="00550034"/>
    <w:rsid w:val="005653E8"/>
    <w:rsid w:val="00567E2F"/>
    <w:rsid w:val="00586065"/>
    <w:rsid w:val="00586A22"/>
    <w:rsid w:val="00592843"/>
    <w:rsid w:val="005A5523"/>
    <w:rsid w:val="005A6AAE"/>
    <w:rsid w:val="005B6157"/>
    <w:rsid w:val="005C280C"/>
    <w:rsid w:val="005D2ECC"/>
    <w:rsid w:val="005D3CE6"/>
    <w:rsid w:val="005E3D70"/>
    <w:rsid w:val="00610147"/>
    <w:rsid w:val="00626F48"/>
    <w:rsid w:val="006979BE"/>
    <w:rsid w:val="006C13A7"/>
    <w:rsid w:val="006F403E"/>
    <w:rsid w:val="00705AE3"/>
    <w:rsid w:val="00713CF1"/>
    <w:rsid w:val="00717BBD"/>
    <w:rsid w:val="00745C4B"/>
    <w:rsid w:val="00746E27"/>
    <w:rsid w:val="007478AE"/>
    <w:rsid w:val="007548D3"/>
    <w:rsid w:val="007A5824"/>
    <w:rsid w:val="007C3BCC"/>
    <w:rsid w:val="007F4FF1"/>
    <w:rsid w:val="007F5889"/>
    <w:rsid w:val="00806781"/>
    <w:rsid w:val="00823029"/>
    <w:rsid w:val="008300C0"/>
    <w:rsid w:val="0086721F"/>
    <w:rsid w:val="00874412"/>
    <w:rsid w:val="0089188A"/>
    <w:rsid w:val="008A06A9"/>
    <w:rsid w:val="008C7D9F"/>
    <w:rsid w:val="0090197D"/>
    <w:rsid w:val="009126B6"/>
    <w:rsid w:val="00922B28"/>
    <w:rsid w:val="00945110"/>
    <w:rsid w:val="00957BD3"/>
    <w:rsid w:val="00990C2C"/>
    <w:rsid w:val="009A6D1D"/>
    <w:rsid w:val="009B1FED"/>
    <w:rsid w:val="009B7F98"/>
    <w:rsid w:val="009C56FF"/>
    <w:rsid w:val="009D31CE"/>
    <w:rsid w:val="009D359B"/>
    <w:rsid w:val="009F58AD"/>
    <w:rsid w:val="009F6B16"/>
    <w:rsid w:val="00A0228B"/>
    <w:rsid w:val="00A06DD9"/>
    <w:rsid w:val="00A07C50"/>
    <w:rsid w:val="00A23481"/>
    <w:rsid w:val="00A32F79"/>
    <w:rsid w:val="00A413B7"/>
    <w:rsid w:val="00A44800"/>
    <w:rsid w:val="00A624A2"/>
    <w:rsid w:val="00AA762B"/>
    <w:rsid w:val="00AF2227"/>
    <w:rsid w:val="00AF4A68"/>
    <w:rsid w:val="00AF7A86"/>
    <w:rsid w:val="00B00834"/>
    <w:rsid w:val="00B1381A"/>
    <w:rsid w:val="00B4694F"/>
    <w:rsid w:val="00B942E6"/>
    <w:rsid w:val="00B97736"/>
    <w:rsid w:val="00BA4537"/>
    <w:rsid w:val="00BC2DFD"/>
    <w:rsid w:val="00BC5101"/>
    <w:rsid w:val="00BF4F08"/>
    <w:rsid w:val="00C109B3"/>
    <w:rsid w:val="00C268DF"/>
    <w:rsid w:val="00C40794"/>
    <w:rsid w:val="00C90748"/>
    <w:rsid w:val="00CC60C2"/>
    <w:rsid w:val="00D1787B"/>
    <w:rsid w:val="00D24117"/>
    <w:rsid w:val="00D25E49"/>
    <w:rsid w:val="00D421ED"/>
    <w:rsid w:val="00D45DE0"/>
    <w:rsid w:val="00D57B5B"/>
    <w:rsid w:val="00D858C4"/>
    <w:rsid w:val="00D954B3"/>
    <w:rsid w:val="00DC4D46"/>
    <w:rsid w:val="00DC5B06"/>
    <w:rsid w:val="00DE01D0"/>
    <w:rsid w:val="00DF7D99"/>
    <w:rsid w:val="00E36267"/>
    <w:rsid w:val="00E37A9E"/>
    <w:rsid w:val="00E46061"/>
    <w:rsid w:val="00E52B90"/>
    <w:rsid w:val="00E7455E"/>
    <w:rsid w:val="00E87BDB"/>
    <w:rsid w:val="00E90B5E"/>
    <w:rsid w:val="00EA48FC"/>
    <w:rsid w:val="00EA496D"/>
    <w:rsid w:val="00EB03E1"/>
    <w:rsid w:val="00ED4997"/>
    <w:rsid w:val="00ED6FF8"/>
    <w:rsid w:val="00EF21B2"/>
    <w:rsid w:val="00F12E48"/>
    <w:rsid w:val="00F30F0E"/>
    <w:rsid w:val="00F34731"/>
    <w:rsid w:val="00F66F75"/>
    <w:rsid w:val="00F83B37"/>
    <w:rsid w:val="00FA1B4D"/>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5C9AA"/>
  <w15:docId w15:val="{0A2F14C4-197C-4DD1-9AB5-FAB786B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39"/>
    <w:rsid w:val="00E37A9E"/>
    <w:pPr>
      <w:spacing w:after="120" w:line="72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1B97-0677-4166-B3C4-AF1E3915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Windows User</cp:lastModifiedBy>
  <cp:revision>4</cp:revision>
  <cp:lastPrinted>2017-11-02T13:50:00Z</cp:lastPrinted>
  <dcterms:created xsi:type="dcterms:W3CDTF">2020-11-14T17:48:00Z</dcterms:created>
  <dcterms:modified xsi:type="dcterms:W3CDTF">2020-11-14T17:54:00Z</dcterms:modified>
</cp:coreProperties>
</file>