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4F2C24" w:rsidP="00C90748">
            <w:pPr>
              <w:pStyle w:val="Materia"/>
            </w:pPr>
            <w:r>
              <w:t>INF</w:t>
            </w:r>
            <w:r w:rsidR="002E48DB">
              <w:t>RAESTRUCTURAS COMUNES DE TELECOMUNICACIONES EN VIVIENDAS Y EDIFICIOS</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8E2003" w:rsidP="00C90748">
            <w:pPr>
              <w:pStyle w:val="Unidad"/>
            </w:pPr>
            <w:r>
              <w:t>2</w:t>
            </w:r>
            <w:r w:rsidR="00FD50A2">
              <w:t>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FD50A2" w:rsidP="00C90748">
            <w:pPr>
              <w:pStyle w:val="Departamento"/>
            </w:pPr>
            <w:r>
              <w:t>INSTALACIONES ELÉCTRICAS Y AUTOMÁTICAS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126E59" w:rsidP="00FD50A2">
            <w:pPr>
              <w:pStyle w:val="Departamento"/>
              <w:jc w:val="center"/>
            </w:pPr>
            <w:r>
              <w:t>2020</w:t>
            </w:r>
            <w:r w:rsidR="00FD50A2">
              <w:t>/202</w:t>
            </w:r>
            <w:r>
              <w:t>1</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rsidR="00FD50A2" w:rsidRDefault="00ED6FF8" w:rsidP="003C3343">
            <w:pPr>
              <w:jc w:val="both"/>
            </w:pPr>
            <w:r>
              <w:t>1.</w:t>
            </w:r>
            <w:r>
              <w:tab/>
              <w:t>Realización de prácticas</w:t>
            </w:r>
            <w:r w:rsidR="00FD50A2">
              <w:t>: individual o en equipo.</w:t>
            </w:r>
            <w:r>
              <w:t xml:space="preserve"> Cumplimentación de las memorias correspondientes a cada práctica/unidad.</w:t>
            </w:r>
          </w:p>
          <w:p w:rsidR="00FD50A2" w:rsidRDefault="00ED6FF8" w:rsidP="003C3343">
            <w:pPr>
              <w:jc w:val="both"/>
            </w:pPr>
            <w:r>
              <w:t>2.</w:t>
            </w:r>
            <w:r>
              <w:tab/>
            </w:r>
            <w:r w:rsidR="00D421ED">
              <w:t>Búsqueda</w:t>
            </w:r>
            <w:r>
              <w:t xml:space="preserve"> de información actualizada y suficientemente contrastada en Internet.</w:t>
            </w:r>
          </w:p>
          <w:p w:rsidR="00FD50A2" w:rsidRDefault="00FD50A2" w:rsidP="003C3343">
            <w:pPr>
              <w:jc w:val="both"/>
            </w:pPr>
            <w:r>
              <w:t>3.</w:t>
            </w:r>
            <w:r>
              <w:tab/>
              <w:t>Pruebas escritas, con contenidos teóricos y prácticos.</w:t>
            </w:r>
          </w:p>
          <w:p w:rsidR="00FD50A2" w:rsidRDefault="00FD50A2" w:rsidP="003C3343">
            <w:pPr>
              <w:jc w:val="both"/>
            </w:pPr>
            <w:r>
              <w:t>4.</w:t>
            </w:r>
            <w:r>
              <w:tab/>
              <w:t>Realización y presentación</w:t>
            </w:r>
            <w:r w:rsidR="00ED6FF8">
              <w:t xml:space="preserve"> puntual de trabajos solicitados por el profesor</w:t>
            </w:r>
            <w:r w:rsidR="00B94C33">
              <w:t>.</w:t>
            </w:r>
            <w:r w:rsidR="00ED6FF8">
              <w:t xml:space="preserve"> </w:t>
            </w:r>
          </w:p>
          <w:p w:rsidR="00FD50A2" w:rsidRDefault="00FD50A2" w:rsidP="003C3343">
            <w:pPr>
              <w:jc w:val="both"/>
            </w:pPr>
            <w:r>
              <w:t>5.</w:t>
            </w:r>
            <w:r>
              <w:tab/>
              <w:t>Asistencia regular a clase.</w:t>
            </w:r>
          </w:p>
          <w:p w:rsidR="00FD50A2" w:rsidRDefault="00FD50A2" w:rsidP="003C3343">
            <w:pPr>
              <w:jc w:val="both"/>
            </w:pPr>
            <w:r>
              <w:t>6.</w:t>
            </w:r>
            <w:r>
              <w:tab/>
              <w:t>Contenido y ordenación de libreta de apuntes.</w:t>
            </w:r>
          </w:p>
          <w:p w:rsidR="00FD50A2" w:rsidRDefault="00FD50A2" w:rsidP="003C3343">
            <w:pPr>
              <w:jc w:val="both"/>
            </w:pPr>
            <w:r>
              <w:t>7.</w:t>
            </w:r>
            <w:r>
              <w:tab/>
              <w:t>Puntualidad y comportamiento en clase.</w:t>
            </w:r>
          </w:p>
          <w:p w:rsidR="00FD50A2" w:rsidRDefault="00FD50A2" w:rsidP="003C3343">
            <w:pPr>
              <w:jc w:val="both"/>
            </w:pPr>
            <w:r>
              <w:t>8.</w:t>
            </w:r>
            <w:r>
              <w:tab/>
              <w:t>C</w:t>
            </w:r>
            <w:r w:rsidR="00ED6FF8">
              <w:t>orrecta utilización</w:t>
            </w:r>
            <w:r w:rsidR="00B94C33">
              <w:t xml:space="preserve"> de herramientas, equipos específicos y</w:t>
            </w:r>
            <w:r w:rsidR="00ED6FF8">
              <w:t xml:space="preserve"> de </w:t>
            </w:r>
            <w:r>
              <w:t>equipos informáticos.</w:t>
            </w:r>
          </w:p>
          <w:p w:rsidR="00ED6FF8" w:rsidRDefault="00ED6FF8" w:rsidP="003C3343">
            <w:pPr>
              <w:jc w:val="both"/>
            </w:pPr>
            <w:r>
              <w:t>9.       Uso adecuado de material siguiendo las medidas adecuadas de seguridad e higiene en el trabajo</w:t>
            </w:r>
            <w:r w:rsidR="00B94C33">
              <w:t>.</w:t>
            </w:r>
          </w:p>
          <w:p w:rsidR="00FD50A2" w:rsidRDefault="00ED6FF8" w:rsidP="003C3343">
            <w:pPr>
              <w:jc w:val="both"/>
            </w:pPr>
            <w:r>
              <w:t>10</w:t>
            </w:r>
            <w:r w:rsidR="00FD50A2">
              <w:t>.</w:t>
            </w:r>
            <w:r w:rsidR="00FD50A2">
              <w:tab/>
              <w:t>Participación en clase.</w:t>
            </w:r>
            <w:bookmarkStart w:id="0" w:name="_GoBack"/>
            <w:bookmarkEnd w:id="0"/>
          </w:p>
          <w:p w:rsidR="00FD50A2" w:rsidRDefault="00ED6FF8" w:rsidP="003C3343">
            <w:pPr>
              <w:jc w:val="both"/>
            </w:pPr>
            <w:r>
              <w:t>11</w:t>
            </w:r>
            <w:r w:rsidR="00FD50A2">
              <w:t>.</w:t>
            </w:r>
            <w:r w:rsidR="00FD50A2">
              <w:tab/>
              <w:t>Cumplimiento de las normas tanto del centro como del aula.</w:t>
            </w:r>
          </w:p>
          <w:p w:rsidR="00FD50A2" w:rsidRPr="00FD50A2" w:rsidRDefault="00FD50A2" w:rsidP="003C3343">
            <w:pPr>
              <w:jc w:val="both"/>
              <w:rPr>
                <w:b/>
                <w:i/>
                <w:u w:val="single"/>
              </w:rPr>
            </w:pPr>
            <w:r w:rsidRPr="00FD50A2">
              <w:rPr>
                <w:b/>
                <w:i/>
                <w:u w:val="single"/>
              </w:rPr>
              <w:t xml:space="preserve"> 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10367A">
              <w:t xml:space="preserve">______________________________ </w:t>
            </w:r>
            <w:r w:rsidR="00410BE5">
              <w:t xml:space="preserve"> 5</w:t>
            </w:r>
            <w:r>
              <w:t>0%</w:t>
            </w:r>
          </w:p>
          <w:p w:rsidR="00FD50A2" w:rsidRDefault="00FD50A2" w:rsidP="003C3343">
            <w:pPr>
              <w:jc w:val="both"/>
            </w:pPr>
            <w:r>
              <w:t>Trabajos y prácticas de clase</w:t>
            </w:r>
            <w:r>
              <w:tab/>
            </w:r>
            <w:r w:rsidR="007A5824">
              <w:t>_</w:t>
            </w:r>
            <w:r w:rsidR="0010367A">
              <w:t>_______________________________</w:t>
            </w:r>
            <w:r w:rsidR="00410BE5">
              <w:t>4</w:t>
            </w:r>
            <w:r>
              <w:t>0%</w:t>
            </w:r>
          </w:p>
          <w:p w:rsidR="00FD50A2" w:rsidRDefault="00D13B35" w:rsidP="003C3343">
            <w:pPr>
              <w:jc w:val="both"/>
            </w:pPr>
            <w:r>
              <w:t>P</w:t>
            </w:r>
            <w:r w:rsidR="007A5824">
              <w:t>untualidad, trabajo</w:t>
            </w:r>
            <w:r>
              <w:t xml:space="preserve"> autónomo</w:t>
            </w:r>
            <w:r w:rsidR="00FD50A2">
              <w:t>, c</w:t>
            </w:r>
            <w:r w:rsidR="007A5824">
              <w:t>omportamiento, libreta___</w:t>
            </w:r>
            <w:r>
              <w:t>___</w:t>
            </w:r>
            <w:r w:rsidR="007A5824">
              <w:t>___1</w:t>
            </w:r>
            <w:r w:rsidR="00FD50A2">
              <w:t>0%</w:t>
            </w:r>
          </w:p>
          <w:p w:rsidR="007A5824" w:rsidRDefault="007A5824" w:rsidP="003C3343">
            <w:pPr>
              <w:jc w:val="both"/>
            </w:pPr>
          </w:p>
          <w:p w:rsidR="007A5824" w:rsidRDefault="007A5824" w:rsidP="003C3343">
            <w:pPr>
              <w:jc w:val="both"/>
            </w:pPr>
          </w:p>
          <w:p w:rsidR="007A5824" w:rsidRDefault="007A5824" w:rsidP="003C3343">
            <w:pPr>
              <w:jc w:val="both"/>
            </w:pPr>
          </w:p>
          <w:p w:rsidR="00FD50A2" w:rsidRDefault="00FD50A2" w:rsidP="003C3343">
            <w:pPr>
              <w:jc w:val="both"/>
            </w:pPr>
            <w:r>
              <w:tab/>
            </w:r>
            <w:r w:rsidRPr="003A347A">
              <w:rPr>
                <w:u w:val="single"/>
              </w:rPr>
              <w:t>Pruebas escritas y/o prácticas</w:t>
            </w:r>
            <w:r>
              <w:t>: se realizarán prue</w:t>
            </w:r>
            <w:r w:rsidR="00B94C33">
              <w:t xml:space="preserve">bas escritas y/o prácticas por </w:t>
            </w:r>
            <w:r>
              <w:t>unidades didácticas o conjunto de ellas según estime el profesor por el contenido de las mismas.  Las pruebas constarán, siempre que los contenidos vistos así lo permitan, de una parte teórica y una parte</w:t>
            </w:r>
            <w:r w:rsidR="0010367A">
              <w:t xml:space="preserve"> práctica. </w:t>
            </w:r>
          </w:p>
          <w:p w:rsidR="00FD50A2" w:rsidRDefault="00FD50A2" w:rsidP="003C3343">
            <w:pPr>
              <w:jc w:val="both"/>
            </w:pPr>
            <w:r>
              <w:tab/>
            </w:r>
            <w:r w:rsidRPr="003A347A">
              <w:rPr>
                <w:u w:val="single"/>
              </w:rPr>
              <w:t>Trabajos y prácticas de clase</w:t>
            </w:r>
            <w:r>
              <w:t>: se refiere a todos los ejercicios y prácticas solicitados por el profesor,</w:t>
            </w:r>
            <w:r w:rsidR="007A5824">
              <w:t xml:space="preserve"> pertenecientes a cada unidad temática,</w:t>
            </w:r>
            <w:r>
              <w:t xml:space="preserve"> a realizar en su mayoría en clase. </w:t>
            </w:r>
            <w:r w:rsidR="007A5824">
              <w:t>Se e</w:t>
            </w:r>
            <w:r w:rsidR="0010367A">
              <w:t xml:space="preserve">ncuentran en el blog de </w:t>
            </w:r>
            <w:r w:rsidR="00B94C33">
              <w:t>clase</w:t>
            </w:r>
            <w:r w:rsidR="00D421ED">
              <w:t>, en</w:t>
            </w:r>
            <w:r w:rsidR="007A5824">
              <w:t xml:space="preserve"> el Drive correspondiente</w:t>
            </w:r>
            <w:r w:rsidR="0010367A">
              <w:t xml:space="preserve"> al tema o en el libro de texto</w:t>
            </w:r>
            <w:r w:rsidR="00B94C33">
              <w:t xml:space="preserve"> o en papel para que puedan ser fotocopiadas</w:t>
            </w:r>
            <w:r w:rsidR="007A5824">
              <w:t xml:space="preserve">. </w:t>
            </w:r>
            <w:r>
              <w:t>Han de ser entregados para su corrección, evaluación y posterior calificación. Quedará constancia de los resultados de dichos ejercicios en el cuaderno del profesor. No se admitirán los ejercicios entregados o finalizados fuera del plazo, salvo causa muy justificada. En caso de que se acepten trabajos entregados o finalizados fuera de plazo, la calificación de los mismos, no será nunca superior a</w:t>
            </w:r>
            <w:r w:rsidR="007A5824">
              <w:t xml:space="preserve"> 5.</w:t>
            </w:r>
          </w:p>
          <w:p w:rsidR="00FD50A2" w:rsidRDefault="00FD50A2" w:rsidP="003C3343">
            <w:pPr>
              <w:jc w:val="both"/>
            </w:pPr>
            <w:r>
              <w:tab/>
            </w:r>
            <w:r w:rsidR="00D13B35">
              <w:rPr>
                <w:u w:val="single"/>
              </w:rPr>
              <w:t xml:space="preserve">Puntualidad, trabajo autónomo, </w:t>
            </w:r>
            <w:proofErr w:type="spellStart"/>
            <w:r w:rsidR="00D13B35">
              <w:rPr>
                <w:u w:val="single"/>
              </w:rPr>
              <w:t>compartamiento</w:t>
            </w:r>
            <w:proofErr w:type="spellEnd"/>
            <w:r w:rsidR="00D13B35">
              <w:rPr>
                <w:u w:val="single"/>
              </w:rPr>
              <w:t>…</w:t>
            </w:r>
            <w:r>
              <w:t>: engloba el trabajo y dedicación diaria en clase, investigación de los contenidos, asistencia regular a clase, puntualidad, correcta utilización del material</w:t>
            </w:r>
            <w:r w:rsidR="00AF4A68">
              <w:t xml:space="preserve"> con seguri</w:t>
            </w:r>
            <w:r w:rsidR="00C54954">
              <w:t>dad bajo las normas de seguridad explicadas</w:t>
            </w:r>
            <w:r>
              <w:t>, participación en clase</w:t>
            </w:r>
            <w:r w:rsidR="00C54954">
              <w:t>, integración de trabajo en grupo</w:t>
            </w:r>
            <w:r>
              <w:t xml:space="preserve"> y el cumplimiento de las normas, tanto del centro como del aula. En este apartado, el profesor evaluará al alumno diariamente en el cuaderno mediante notas de clase, obteniendo al final del trimestre una calificación sobre 10.</w:t>
            </w:r>
          </w:p>
          <w:p w:rsidR="00C3514A" w:rsidRDefault="00C3514A" w:rsidP="003C3343">
            <w:pPr>
              <w:jc w:val="both"/>
            </w:pPr>
          </w:p>
          <w:p w:rsidR="00FD50A2" w:rsidRDefault="00FD50A2" w:rsidP="003C3343">
            <w:pPr>
              <w:jc w:val="both"/>
            </w:pPr>
            <w:r>
              <w:t>La calificación final de cada evaluación tendrá una nota numérica en un rango de 1 a 10. La evaluación se considerará superada cuando la calificación de la misma sea igual o superior a 5.</w:t>
            </w:r>
          </w:p>
          <w:p w:rsidR="00FD50A2" w:rsidRDefault="00FD50A2" w:rsidP="003C3343">
            <w:pPr>
              <w:jc w:val="both"/>
            </w:pPr>
          </w:p>
          <w:p w:rsidR="00FD50A2" w:rsidRDefault="00FD50A2" w:rsidP="003C3343">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FD50A2" w:rsidRDefault="00FD50A2" w:rsidP="003C3343">
            <w:pPr>
              <w:jc w:val="both"/>
            </w:pPr>
          </w:p>
          <w:p w:rsidR="00FD50A2" w:rsidRDefault="00FD50A2" w:rsidP="003C3343">
            <w:pPr>
              <w:jc w:val="both"/>
            </w:pPr>
            <w:r>
              <w:t>Si un alumno o alumna no supera una o varias evaluaciones, no se considerará superado el módulo.</w:t>
            </w:r>
          </w:p>
          <w:p w:rsidR="00FD50A2" w:rsidRDefault="00FD50A2" w:rsidP="003C3343">
            <w:pPr>
              <w:jc w:val="both"/>
            </w:pPr>
          </w:p>
          <w:p w:rsidR="00FD50A2" w:rsidRPr="0010367A" w:rsidRDefault="00FD50A2" w:rsidP="003C3343">
            <w:pPr>
              <w:jc w:val="both"/>
              <w:rPr>
                <w:b/>
                <w:i/>
                <w:u w:val="single"/>
              </w:rPr>
            </w:pPr>
            <w:r w:rsidRPr="0010367A">
              <w:rPr>
                <w:b/>
                <w:i/>
                <w:u w:val="single"/>
              </w:rPr>
              <w:t>RECUPERACIÓN</w:t>
            </w:r>
          </w:p>
          <w:p w:rsidR="004F2C24" w:rsidRDefault="00FD50A2" w:rsidP="003C3343">
            <w:pPr>
              <w:jc w:val="both"/>
            </w:pPr>
            <w:r>
              <w:t xml:space="preserve">Si un alumno o alumna no supera la  evaluación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FD50A2" w:rsidRDefault="00FD50A2" w:rsidP="003C3343">
            <w:pPr>
              <w:jc w:val="both"/>
            </w:pPr>
            <w:r>
              <w:t>Si el alumno no recupera la evaluación en esta fase de recuperación o no ha sido, para superar el módulo podrá recuperar las evaluaciones no superadas</w:t>
            </w:r>
            <w:r w:rsidR="00410BE5">
              <w:t xml:space="preserve"> durante el período de recuperación establecido</w:t>
            </w:r>
            <w:r>
              <w:t xml:space="preserve"> en el </w:t>
            </w:r>
            <w:r w:rsidR="004F2C24">
              <w:t xml:space="preserve">tercer trimestre, siendo evaluado en el mes de </w:t>
            </w:r>
            <w:r w:rsidR="00340455">
              <w:t>junio</w:t>
            </w:r>
            <w:r>
              <w:t xml:space="preserve">. </w:t>
            </w:r>
            <w:r w:rsidR="00410BE5">
              <w:t>Durante este período se le realizarán pruebas prácticas y escritas así como la realización de trabajos no realizados a lo largo del curso. Las pruebas realizadas</w:t>
            </w:r>
            <w:r>
              <w:t xml:space="preserve"> serán calificadas de forma independiente con una puntuación </w:t>
            </w:r>
            <w:r>
              <w:lastRenderedPageBreak/>
              <w:t>de 1 a 10 debiendo sacar un 5 para superar dichas pruebas.</w:t>
            </w:r>
          </w:p>
          <w:p w:rsidR="00FD50A2" w:rsidRDefault="00FD50A2" w:rsidP="003C3343">
            <w:pPr>
              <w:jc w:val="both"/>
            </w:pPr>
          </w:p>
          <w:p w:rsidR="00FD50A2" w:rsidRDefault="00FD50A2" w:rsidP="003C3343">
            <w:pPr>
              <w:jc w:val="both"/>
            </w:pPr>
            <w:r>
              <w:t>Para superar el módulo, debe obtener una puntuación mínima de 5 sobre 10 en cada una de las partes específicas a recuperar.</w:t>
            </w:r>
          </w:p>
          <w:p w:rsidR="00FD50A2" w:rsidRDefault="00410BE5" w:rsidP="003C3343">
            <w:pPr>
              <w:jc w:val="both"/>
            </w:pPr>
            <w:r>
              <w:t>Será condición necesaria para recuperar el</w:t>
            </w:r>
            <w:r w:rsidR="00FD50A2">
              <w:t xml:space="preserve"> haber presentado todos los trabajos y prácticas solicitadas por el profesor a lo largo de todo el curso y tener una calificación mínima de 5 sobre 10 en cada uno de ellos.</w:t>
            </w:r>
          </w:p>
          <w:p w:rsidR="00FD50A2" w:rsidRDefault="00410BE5" w:rsidP="003C3343">
            <w:pPr>
              <w:jc w:val="both"/>
            </w:pPr>
            <w:r>
              <w:t xml:space="preserve">Durante este período </w:t>
            </w:r>
            <w:r w:rsidR="00FD50A2">
              <w:t>el alumno o alumna deberá recuperar únicamente aquellas evaluaciones no superadas e independientemente de la nota obtenida en las evaluaciones recuperadas, se utilizará la calificación de 5 sobre 10 para computar la media aritmética de las evaluaciones recuperadas, para la obtención de la nota final del módulo.</w:t>
            </w:r>
          </w:p>
          <w:p w:rsidR="00FD50A2" w:rsidRPr="00C90748" w:rsidRDefault="00FD50A2" w:rsidP="00410BE5">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1" w:name="_Toc469382815"/>
            <w:r w:rsidRPr="001B7866">
              <w:t>INFORMACIÓN SOBRE EL DERECHO A FORMULAR RECLAMACIONES SOBRE LAS CALIFICACIONES OBTENIDAS A LA FINALIZACIÓN DE CADA CURSO Y SOBRE LA DECISIÓN DE PROMOCIÓN Y TITULACIÓN</w:t>
            </w:r>
            <w:bookmarkEnd w:id="1"/>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Default="00FD50A2" w:rsidP="000A06E0">
            <w:pPr>
              <w:autoSpaceDE w:val="0"/>
              <w:autoSpaceDN w:val="0"/>
              <w:adjustRightInd w:val="0"/>
              <w:spacing w:after="0"/>
              <w:jc w:val="both"/>
              <w:rPr>
                <w:rFonts w:eastAsia="ArialNarrow" w:cs="Arial"/>
                <w:b/>
                <w:lang w:val="es-ES" w:eastAsia="es-ES"/>
              </w:rPr>
            </w:pPr>
          </w:p>
          <w:p w:rsidR="00C3514A" w:rsidRPr="00A32F79" w:rsidRDefault="00C3514A"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10"/>
      <w:pgSz w:w="11906" w:h="16838"/>
      <w:pgMar w:top="899" w:right="866" w:bottom="719" w:left="1080" w:header="709"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E0" w:rsidRDefault="00D45DE0">
      <w:r>
        <w:separator/>
      </w:r>
    </w:p>
  </w:endnote>
  <w:endnote w:type="continuationSeparator" w:id="0">
    <w:p w:rsidR="00D45DE0" w:rsidRDefault="00D4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3D0D91" w:rsidRPr="00E46061">
      <w:rPr>
        <w:rFonts w:asciiTheme="minorHAnsi" w:eastAsiaTheme="minorEastAsia" w:hAnsiTheme="minorHAnsi" w:cstheme="minorBidi"/>
        <w:sz w:val="22"/>
        <w:szCs w:val="22"/>
        <w:lang w:val="es-ES"/>
      </w:rPr>
      <w:fldChar w:fldCharType="begin"/>
    </w:r>
    <w:r w:rsidRPr="00E46061">
      <w:rPr>
        <w:lang w:val="es-ES"/>
      </w:rPr>
      <w:instrText>PAGE   \* MERGEFORMAT</w:instrText>
    </w:r>
    <w:r w:rsidR="003D0D91" w:rsidRPr="00E46061">
      <w:rPr>
        <w:rFonts w:asciiTheme="minorHAnsi" w:eastAsiaTheme="minorEastAsia" w:hAnsiTheme="minorHAnsi" w:cstheme="minorBidi"/>
        <w:sz w:val="22"/>
        <w:szCs w:val="22"/>
        <w:lang w:val="es-ES"/>
      </w:rPr>
      <w:fldChar w:fldCharType="separate"/>
    </w:r>
    <w:r w:rsidR="001D602F" w:rsidRPr="001D602F">
      <w:rPr>
        <w:rFonts w:asciiTheme="majorHAnsi" w:eastAsiaTheme="majorEastAsia" w:hAnsiTheme="majorHAnsi" w:cstheme="majorBidi"/>
        <w:noProof/>
        <w:color w:val="4F81BD" w:themeColor="accent1"/>
        <w:sz w:val="40"/>
        <w:szCs w:val="40"/>
        <w:lang w:val="es-ES"/>
      </w:rPr>
      <w:t>1</w:t>
    </w:r>
    <w:r w:rsidR="003D0D91"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E0" w:rsidRDefault="00D45DE0">
      <w:r>
        <w:separator/>
      </w:r>
    </w:p>
  </w:footnote>
  <w:footnote w:type="continuationSeparator" w:id="0">
    <w:p w:rsidR="00D45DE0" w:rsidRDefault="00D45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8C4"/>
    <w:rsid w:val="00023066"/>
    <w:rsid w:val="00033200"/>
    <w:rsid w:val="00034856"/>
    <w:rsid w:val="00043EB2"/>
    <w:rsid w:val="000859CB"/>
    <w:rsid w:val="00092C9C"/>
    <w:rsid w:val="000A06E0"/>
    <w:rsid w:val="000A7ADD"/>
    <w:rsid w:val="000C0068"/>
    <w:rsid w:val="000D5AD0"/>
    <w:rsid w:val="0010367A"/>
    <w:rsid w:val="00106A11"/>
    <w:rsid w:val="00107EA7"/>
    <w:rsid w:val="00126E59"/>
    <w:rsid w:val="00143DD4"/>
    <w:rsid w:val="00145EEE"/>
    <w:rsid w:val="001B7866"/>
    <w:rsid w:val="001C1881"/>
    <w:rsid w:val="001C284F"/>
    <w:rsid w:val="001D1162"/>
    <w:rsid w:val="001D3B8B"/>
    <w:rsid w:val="001D4ADB"/>
    <w:rsid w:val="001D602F"/>
    <w:rsid w:val="0023624E"/>
    <w:rsid w:val="00236B01"/>
    <w:rsid w:val="002475D9"/>
    <w:rsid w:val="002514A7"/>
    <w:rsid w:val="0027075C"/>
    <w:rsid w:val="002721D8"/>
    <w:rsid w:val="00280BA7"/>
    <w:rsid w:val="002A1CAB"/>
    <w:rsid w:val="002A7935"/>
    <w:rsid w:val="002E3417"/>
    <w:rsid w:val="002E48DB"/>
    <w:rsid w:val="002E625D"/>
    <w:rsid w:val="00340455"/>
    <w:rsid w:val="00340780"/>
    <w:rsid w:val="00353D54"/>
    <w:rsid w:val="00357269"/>
    <w:rsid w:val="00382064"/>
    <w:rsid w:val="00393DC2"/>
    <w:rsid w:val="00395808"/>
    <w:rsid w:val="003A347A"/>
    <w:rsid w:val="003C3343"/>
    <w:rsid w:val="003D0D91"/>
    <w:rsid w:val="003E4921"/>
    <w:rsid w:val="00400F98"/>
    <w:rsid w:val="00410BE5"/>
    <w:rsid w:val="0041132F"/>
    <w:rsid w:val="00470D67"/>
    <w:rsid w:val="004B4936"/>
    <w:rsid w:val="004C6FFF"/>
    <w:rsid w:val="004D6EB1"/>
    <w:rsid w:val="004E612A"/>
    <w:rsid w:val="004F2C24"/>
    <w:rsid w:val="0051687C"/>
    <w:rsid w:val="0053562F"/>
    <w:rsid w:val="00550034"/>
    <w:rsid w:val="005653E8"/>
    <w:rsid w:val="00567E2F"/>
    <w:rsid w:val="00586A22"/>
    <w:rsid w:val="00592843"/>
    <w:rsid w:val="005A6AAE"/>
    <w:rsid w:val="005B6157"/>
    <w:rsid w:val="005D2ECC"/>
    <w:rsid w:val="005D3CE6"/>
    <w:rsid w:val="005E3D70"/>
    <w:rsid w:val="00626F48"/>
    <w:rsid w:val="006979BE"/>
    <w:rsid w:val="006C13A7"/>
    <w:rsid w:val="006F403E"/>
    <w:rsid w:val="00701892"/>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8E2003"/>
    <w:rsid w:val="0090197D"/>
    <w:rsid w:val="009126B6"/>
    <w:rsid w:val="00945110"/>
    <w:rsid w:val="00957BD3"/>
    <w:rsid w:val="00990C2C"/>
    <w:rsid w:val="009A6D1D"/>
    <w:rsid w:val="009B1FED"/>
    <w:rsid w:val="009B7F98"/>
    <w:rsid w:val="009C56FF"/>
    <w:rsid w:val="009D31CE"/>
    <w:rsid w:val="009D359B"/>
    <w:rsid w:val="009F58AD"/>
    <w:rsid w:val="00A06DD9"/>
    <w:rsid w:val="00A07C50"/>
    <w:rsid w:val="00A23481"/>
    <w:rsid w:val="00A32F79"/>
    <w:rsid w:val="00A413B7"/>
    <w:rsid w:val="00A624A2"/>
    <w:rsid w:val="00AA762B"/>
    <w:rsid w:val="00AF2227"/>
    <w:rsid w:val="00AF4A68"/>
    <w:rsid w:val="00AF7A86"/>
    <w:rsid w:val="00B00834"/>
    <w:rsid w:val="00B4694F"/>
    <w:rsid w:val="00B942E6"/>
    <w:rsid w:val="00B94C33"/>
    <w:rsid w:val="00B97736"/>
    <w:rsid w:val="00BA4537"/>
    <w:rsid w:val="00BC2DFD"/>
    <w:rsid w:val="00BC5101"/>
    <w:rsid w:val="00BF4F08"/>
    <w:rsid w:val="00C268DF"/>
    <w:rsid w:val="00C3514A"/>
    <w:rsid w:val="00C54954"/>
    <w:rsid w:val="00C90748"/>
    <w:rsid w:val="00CC22CA"/>
    <w:rsid w:val="00CC60C2"/>
    <w:rsid w:val="00D13B35"/>
    <w:rsid w:val="00D1787B"/>
    <w:rsid w:val="00D24117"/>
    <w:rsid w:val="00D25E49"/>
    <w:rsid w:val="00D421ED"/>
    <w:rsid w:val="00D45DE0"/>
    <w:rsid w:val="00D57B5B"/>
    <w:rsid w:val="00D858C4"/>
    <w:rsid w:val="00D954B3"/>
    <w:rsid w:val="00DC5B06"/>
    <w:rsid w:val="00DF249E"/>
    <w:rsid w:val="00DF7D99"/>
    <w:rsid w:val="00E36267"/>
    <w:rsid w:val="00E37A9E"/>
    <w:rsid w:val="00E46061"/>
    <w:rsid w:val="00E52B90"/>
    <w:rsid w:val="00E66401"/>
    <w:rsid w:val="00E90B5E"/>
    <w:rsid w:val="00EA48FC"/>
    <w:rsid w:val="00EA496D"/>
    <w:rsid w:val="00ED4997"/>
    <w:rsid w:val="00ED6FF8"/>
    <w:rsid w:val="00EF21B2"/>
    <w:rsid w:val="00F12E48"/>
    <w:rsid w:val="00F30F0E"/>
    <w:rsid w:val="00F34731"/>
    <w:rsid w:val="00F66F75"/>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A75B-720A-4ADC-8FB7-2CE43140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Oficina</cp:lastModifiedBy>
  <cp:revision>9</cp:revision>
  <cp:lastPrinted>2017-11-02T13:50:00Z</cp:lastPrinted>
  <dcterms:created xsi:type="dcterms:W3CDTF">2020-01-19T19:16:00Z</dcterms:created>
  <dcterms:modified xsi:type="dcterms:W3CDTF">2020-11-21T11:43:00Z</dcterms:modified>
</cp:coreProperties>
</file>