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05" w:rsidRPr="00D36405" w:rsidRDefault="00D36405" w:rsidP="00D36405">
      <w:pPr>
        <w:pBdr>
          <w:bottom w:val="dotted" w:sz="6" w:space="0" w:color="CCCCCC"/>
        </w:pBdr>
        <w:shd w:val="clear" w:color="auto" w:fill="FFFFFF"/>
        <w:spacing w:after="0" w:line="240" w:lineRule="auto"/>
        <w:jc w:val="both"/>
        <w:outlineLvl w:val="1"/>
        <w:rPr>
          <w:rFonts w:ascii="Verdana" w:eastAsia="Times New Roman" w:hAnsi="Verdana" w:cs="Times New Roman"/>
          <w:color w:val="555555"/>
          <w:sz w:val="30"/>
          <w:szCs w:val="30"/>
          <w:lang w:eastAsia="es-ES"/>
        </w:rPr>
      </w:pPr>
      <w:r w:rsidRPr="00D36405">
        <w:rPr>
          <w:rFonts w:ascii="Verdana" w:eastAsia="Times New Roman" w:hAnsi="Verdana" w:cs="Times New Roman"/>
          <w:color w:val="555555"/>
          <w:sz w:val="30"/>
          <w:szCs w:val="30"/>
          <w:lang w:eastAsia="es-ES"/>
        </w:rPr>
        <w:t>Entorno profesional</w:t>
      </w:r>
    </w:p>
    <w:p w:rsidR="00D80587" w:rsidRDefault="00D36405" w:rsidP="00D36405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  <w:lang w:eastAsia="es-ES"/>
        </w:rPr>
      </w:pPr>
      <w:r w:rsidRPr="00D36405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br/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  <w:lang w:eastAsia="es-ES"/>
        </w:rPr>
        <w:t>1. Este profesional ejerce su actividad en pequeñas, medianas y grandes empresas dedicadas a la ejecución, reforma y rehabilitación de obras de edificación y urbanización, por cuenta ajena.</w:t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br/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br/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  <w:lang w:eastAsia="es-ES"/>
        </w:rPr>
        <w:t>2. Las ocupaciones y puestos de trabajo más relevantes son los siguientes:</w:t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br/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br/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  <w:lang w:eastAsia="es-ES"/>
        </w:rPr>
        <w:softHyphen/>
        <w:t xml:space="preserve"> Operario de albañilería básica.</w:t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br/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  <w:lang w:eastAsia="es-ES"/>
        </w:rPr>
        <w:softHyphen/>
        <w:t xml:space="preserve"> Ayudante de albañil.</w:t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br/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  <w:lang w:eastAsia="es-ES"/>
        </w:rPr>
        <w:softHyphen/>
        <w:t xml:space="preserve"> Peón especializado.</w:t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br/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  <w:lang w:eastAsia="es-ES"/>
        </w:rPr>
        <w:softHyphen/>
        <w:t xml:space="preserve"> Ayudante en pavimentación para urbanización.</w:t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br/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  <w:lang w:eastAsia="es-ES"/>
        </w:rPr>
        <w:softHyphen/>
        <w:t xml:space="preserve"> Ayudante de solador.</w:t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br/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  <w:lang w:eastAsia="es-ES"/>
        </w:rPr>
        <w:softHyphen/>
        <w:t xml:space="preserve"> Ayudante de alicatador.</w:t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br/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  <w:lang w:eastAsia="es-ES"/>
        </w:rPr>
        <w:softHyphen/>
        <w:t xml:space="preserve"> Ayudante de escayolista.</w:t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br/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  <w:lang w:eastAsia="es-ES"/>
        </w:rPr>
        <w:softHyphen/>
        <w:t xml:space="preserve"> Auxiliar de yesaire (yesero).</w:t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br/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  <w:lang w:eastAsia="es-ES"/>
        </w:rPr>
        <w:softHyphen/>
        <w:t xml:space="preserve"> Ayudante de acabados.</w:t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br/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  <w:lang w:eastAsia="es-ES"/>
        </w:rPr>
        <w:softHyphen/>
        <w:t xml:space="preserve"> Auxiliar de empapelador.</w:t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br/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  <w:lang w:eastAsia="es-ES"/>
        </w:rPr>
        <w:softHyphen/>
        <w:t xml:space="preserve"> Ayudante de pintor.</w:t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br/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  <w:lang w:eastAsia="es-ES"/>
        </w:rPr>
        <w:softHyphen/>
        <w:t xml:space="preserve"> Ayudante de revestimientos continuos.</w:t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br/>
      </w:r>
      <w:r w:rsidRPr="00D36405"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  <w:lang w:eastAsia="es-ES"/>
        </w:rPr>
        <w:softHyphen/>
        <w:t xml:space="preserve"> Ayudante de mantenimiento básico de edificios.</w:t>
      </w:r>
    </w:p>
    <w:p w:rsidR="00EE755E" w:rsidRDefault="00EE755E" w:rsidP="00EE755E">
      <w:pPr>
        <w:pStyle w:val="Ttulo1"/>
        <w:pBdr>
          <w:bottom w:val="single" w:sz="6" w:space="0" w:color="087021"/>
        </w:pBdr>
        <w:shd w:val="clear" w:color="auto" w:fill="FFFFFF"/>
        <w:spacing w:before="0" w:after="150" w:line="600" w:lineRule="atLeast"/>
        <w:jc w:val="both"/>
        <w:rPr>
          <w:rFonts w:ascii="TeXGyreHerosCnRegular" w:hAnsi="TeXGyreHerosCnRegular"/>
          <w:b w:val="0"/>
          <w:bCs w:val="0"/>
          <w:color w:val="2B2B2B"/>
          <w:sz w:val="33"/>
          <w:szCs w:val="33"/>
        </w:rPr>
      </w:pPr>
      <w:r>
        <w:rPr>
          <w:rStyle w:val="portlet-title-text"/>
          <w:rFonts w:ascii="TeXGyreHerosCnRegular" w:hAnsi="TeXGyreHerosCnRegular"/>
          <w:b w:val="0"/>
          <w:bCs w:val="0"/>
          <w:color w:val="2B2B2B"/>
          <w:sz w:val="33"/>
          <w:szCs w:val="33"/>
        </w:rPr>
        <w:t>Módulos Profesionales</w:t>
      </w:r>
    </w:p>
    <w:p w:rsidR="00EE755E" w:rsidRDefault="00EE755E" w:rsidP="00EE755E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Verdana" w:hAnsi="Verdana"/>
          <w:b w:val="0"/>
          <w:bCs w:val="0"/>
          <w:color w:val="555555"/>
          <w:sz w:val="30"/>
          <w:szCs w:val="30"/>
        </w:rPr>
      </w:pPr>
      <w:r>
        <w:rPr>
          <w:rFonts w:ascii="Verdana" w:hAnsi="Verdana"/>
          <w:b w:val="0"/>
          <w:bCs w:val="0"/>
          <w:color w:val="555555"/>
          <w:sz w:val="30"/>
          <w:szCs w:val="30"/>
        </w:rPr>
        <w:t>Primero</w:t>
      </w:r>
    </w:p>
    <w:p w:rsidR="00363DDF" w:rsidRDefault="00363DDF" w:rsidP="00D36405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5"/>
        <w:gridCol w:w="4519"/>
        <w:gridCol w:w="1379"/>
        <w:gridCol w:w="1457"/>
      </w:tblGrid>
      <w:tr w:rsidR="00363DDF" w:rsidTr="00363DDF">
        <w:tc>
          <w:tcPr>
            <w:tcW w:w="1526" w:type="dxa"/>
          </w:tcPr>
          <w:p w:rsidR="00363DDF" w:rsidRDefault="00363DDF" w:rsidP="00363D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3DDF" w:rsidRDefault="00363DDF" w:rsidP="00D36405">
            <w:pPr>
              <w:rPr>
                <w:rFonts w:ascii="Verdana" w:eastAsia="Times New Roman" w:hAnsi="Verdana" w:cs="Times New Roman"/>
                <w:color w:val="555555"/>
                <w:sz w:val="21"/>
                <w:szCs w:val="21"/>
                <w:shd w:val="clear" w:color="auto" w:fill="FFFFFF"/>
                <w:lang w:eastAsia="es-ES"/>
              </w:rPr>
            </w:pPr>
            <w:proofErr w:type="spellStart"/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Cod</w:t>
            </w:r>
            <w:proofErr w:type="spellEnd"/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.</w:t>
            </w:r>
          </w:p>
        </w:tc>
        <w:tc>
          <w:tcPr>
            <w:tcW w:w="5768" w:type="dxa"/>
          </w:tcPr>
          <w:p w:rsidR="00363DDF" w:rsidRDefault="00363DDF" w:rsidP="00D36405">
            <w:pPr>
              <w:rPr>
                <w:rFonts w:ascii="Verdana" w:eastAsia="Times New Roman" w:hAnsi="Verdana" w:cs="Times New Roman"/>
                <w:color w:val="555555"/>
                <w:sz w:val="21"/>
                <w:szCs w:val="21"/>
                <w:shd w:val="clear" w:color="auto" w:fill="FFFFFF"/>
                <w:lang w:eastAsia="es-ES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Módulo</w:t>
            </w:r>
          </w:p>
        </w:tc>
        <w:tc>
          <w:tcPr>
            <w:tcW w:w="1461" w:type="dxa"/>
          </w:tcPr>
          <w:p w:rsidR="00363DDF" w:rsidRDefault="00363DDF" w:rsidP="00D36405">
            <w:pPr>
              <w:rPr>
                <w:rFonts w:ascii="Verdana" w:eastAsia="Times New Roman" w:hAnsi="Verdana" w:cs="Times New Roman"/>
                <w:color w:val="555555"/>
                <w:sz w:val="21"/>
                <w:szCs w:val="21"/>
                <w:shd w:val="clear" w:color="auto" w:fill="FFFFFF"/>
                <w:lang w:eastAsia="es-ES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H.SEM.</w:t>
            </w: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7</w:t>
            </w:r>
          </w:p>
        </w:tc>
        <w:tc>
          <w:tcPr>
            <w:tcW w:w="1457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H.TOT</w:t>
            </w: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.</w:t>
            </w: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224</w:t>
            </w:r>
          </w:p>
        </w:tc>
      </w:tr>
      <w:tr w:rsidR="00363DDF" w:rsidTr="00363DDF">
        <w:tc>
          <w:tcPr>
            <w:tcW w:w="1526" w:type="dxa"/>
          </w:tcPr>
          <w:p w:rsidR="00363DDF" w:rsidRDefault="00363DDF" w:rsidP="00363DDF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3082</w:t>
            </w:r>
          </w:p>
        </w:tc>
        <w:tc>
          <w:tcPr>
            <w:tcW w:w="5768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t>Albañilería básica</w:t>
            </w:r>
          </w:p>
        </w:tc>
        <w:tc>
          <w:tcPr>
            <w:tcW w:w="1461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7</w:t>
            </w:r>
          </w:p>
        </w:tc>
        <w:tc>
          <w:tcPr>
            <w:tcW w:w="1457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224</w:t>
            </w:r>
          </w:p>
        </w:tc>
      </w:tr>
      <w:tr w:rsidR="00363DDF" w:rsidTr="00363DDF">
        <w:tc>
          <w:tcPr>
            <w:tcW w:w="1526" w:type="dxa"/>
          </w:tcPr>
          <w:p w:rsidR="00363DDF" w:rsidRDefault="00363DDF" w:rsidP="00363DDF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3009</w:t>
            </w:r>
          </w:p>
        </w:tc>
        <w:tc>
          <w:tcPr>
            <w:tcW w:w="5768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t>Ciencias aplicadas I</w:t>
            </w:r>
          </w:p>
        </w:tc>
        <w:tc>
          <w:tcPr>
            <w:tcW w:w="1461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5</w:t>
            </w:r>
          </w:p>
        </w:tc>
        <w:tc>
          <w:tcPr>
            <w:tcW w:w="1457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160</w:t>
            </w:r>
          </w:p>
        </w:tc>
      </w:tr>
      <w:tr w:rsidR="00363DDF" w:rsidTr="00363DDF">
        <w:tc>
          <w:tcPr>
            <w:tcW w:w="1526" w:type="dxa"/>
          </w:tcPr>
          <w:p w:rsidR="00363DDF" w:rsidRDefault="00363DDF" w:rsidP="00363DDF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3011</w:t>
            </w:r>
          </w:p>
        </w:tc>
        <w:tc>
          <w:tcPr>
            <w:tcW w:w="5768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t>Comunicación y sociedad I</w:t>
            </w:r>
          </w:p>
        </w:tc>
        <w:tc>
          <w:tcPr>
            <w:tcW w:w="1461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8</w:t>
            </w:r>
          </w:p>
        </w:tc>
        <w:tc>
          <w:tcPr>
            <w:tcW w:w="1457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256</w:t>
            </w:r>
          </w:p>
        </w:tc>
      </w:tr>
      <w:tr w:rsidR="00363DDF" w:rsidTr="00363DDF">
        <w:tc>
          <w:tcPr>
            <w:tcW w:w="1526" w:type="dxa"/>
          </w:tcPr>
          <w:p w:rsidR="00363DDF" w:rsidRDefault="00363DDF" w:rsidP="00363DDF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3083</w:t>
            </w:r>
          </w:p>
        </w:tc>
        <w:tc>
          <w:tcPr>
            <w:tcW w:w="5768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t>Guarnecidos y enlucidos</w:t>
            </w:r>
          </w:p>
        </w:tc>
        <w:tc>
          <w:tcPr>
            <w:tcW w:w="1461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4</w:t>
            </w:r>
          </w:p>
        </w:tc>
        <w:tc>
          <w:tcPr>
            <w:tcW w:w="1457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128</w:t>
            </w:r>
          </w:p>
        </w:tc>
      </w:tr>
      <w:tr w:rsidR="00363DDF" w:rsidTr="00363DDF">
        <w:tc>
          <w:tcPr>
            <w:tcW w:w="1526" w:type="dxa"/>
          </w:tcPr>
          <w:p w:rsidR="00363DDF" w:rsidRDefault="00363DDF" w:rsidP="00363DDF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3087</w:t>
            </w:r>
          </w:p>
        </w:tc>
        <w:tc>
          <w:tcPr>
            <w:tcW w:w="5768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t>Trabajos de pavimentación exterior y de urbanización</w:t>
            </w:r>
          </w:p>
        </w:tc>
        <w:tc>
          <w:tcPr>
            <w:tcW w:w="1461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5</w:t>
            </w:r>
          </w:p>
        </w:tc>
        <w:tc>
          <w:tcPr>
            <w:tcW w:w="1457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160</w:t>
            </w:r>
          </w:p>
        </w:tc>
      </w:tr>
      <w:tr w:rsidR="00363DDF" w:rsidTr="00363DDF">
        <w:tc>
          <w:tcPr>
            <w:tcW w:w="1526" w:type="dxa"/>
          </w:tcPr>
          <w:p w:rsidR="00363DDF" w:rsidRDefault="00363DDF" w:rsidP="00363DDF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9997</w:t>
            </w:r>
          </w:p>
        </w:tc>
        <w:tc>
          <w:tcPr>
            <w:tcW w:w="5768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t>Tutoría FPB 1º</w:t>
            </w:r>
          </w:p>
        </w:tc>
        <w:tc>
          <w:tcPr>
            <w:tcW w:w="1461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1</w:t>
            </w:r>
          </w:p>
        </w:tc>
        <w:tc>
          <w:tcPr>
            <w:tcW w:w="1457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32</w:t>
            </w:r>
          </w:p>
        </w:tc>
      </w:tr>
    </w:tbl>
    <w:p w:rsidR="009E058B" w:rsidRDefault="009E058B" w:rsidP="009E058B">
      <w:pPr>
        <w:shd w:val="clear" w:color="auto" w:fill="FFFFFF"/>
        <w:jc w:val="both"/>
        <w:rPr>
          <w:rFonts w:ascii="Verdana" w:hAnsi="Verdana"/>
          <w:color w:val="555555"/>
          <w:sz w:val="21"/>
          <w:szCs w:val="21"/>
        </w:rPr>
      </w:pPr>
    </w:p>
    <w:p w:rsidR="009E058B" w:rsidRDefault="009E058B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  <w:r>
        <w:rPr>
          <w:rFonts w:ascii="inherit" w:hAnsi="inherit"/>
          <w:b w:val="0"/>
          <w:bCs w:val="0"/>
          <w:color w:val="555555"/>
          <w:sz w:val="30"/>
          <w:szCs w:val="30"/>
        </w:rPr>
        <w:t>Segundo</w:t>
      </w: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3"/>
        <w:gridCol w:w="4522"/>
        <w:gridCol w:w="1378"/>
        <w:gridCol w:w="1457"/>
      </w:tblGrid>
      <w:tr w:rsidR="00EE755E" w:rsidTr="00D060F5">
        <w:tc>
          <w:tcPr>
            <w:tcW w:w="1526" w:type="dxa"/>
          </w:tcPr>
          <w:p w:rsidR="00EE755E" w:rsidRDefault="00EE755E" w:rsidP="00D060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755E" w:rsidRDefault="00EE755E" w:rsidP="00D060F5">
            <w:pPr>
              <w:rPr>
                <w:rFonts w:ascii="Verdana" w:eastAsia="Times New Roman" w:hAnsi="Verdana" w:cs="Times New Roman"/>
                <w:color w:val="555555"/>
                <w:sz w:val="21"/>
                <w:szCs w:val="21"/>
                <w:shd w:val="clear" w:color="auto" w:fill="FFFFFF"/>
                <w:lang w:eastAsia="es-ES"/>
              </w:rPr>
            </w:pPr>
            <w:proofErr w:type="spellStart"/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Cod</w:t>
            </w:r>
            <w:proofErr w:type="spellEnd"/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.</w:t>
            </w:r>
          </w:p>
        </w:tc>
        <w:tc>
          <w:tcPr>
            <w:tcW w:w="5768" w:type="dxa"/>
          </w:tcPr>
          <w:p w:rsidR="00EE755E" w:rsidRDefault="00EE755E" w:rsidP="00D060F5">
            <w:pPr>
              <w:rPr>
                <w:rFonts w:ascii="Verdana" w:eastAsia="Times New Roman" w:hAnsi="Verdana" w:cs="Times New Roman"/>
                <w:color w:val="555555"/>
                <w:sz w:val="21"/>
                <w:szCs w:val="21"/>
                <w:shd w:val="clear" w:color="auto" w:fill="FFFFFF"/>
                <w:lang w:eastAsia="es-ES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Módulo</w:t>
            </w:r>
          </w:p>
        </w:tc>
        <w:tc>
          <w:tcPr>
            <w:tcW w:w="1461" w:type="dxa"/>
          </w:tcPr>
          <w:p w:rsidR="00EE755E" w:rsidRDefault="00EE755E" w:rsidP="00D060F5">
            <w:pPr>
              <w:rPr>
                <w:rFonts w:ascii="Verdana" w:eastAsia="Times New Roman" w:hAnsi="Verdana" w:cs="Times New Roman"/>
                <w:color w:val="555555"/>
                <w:sz w:val="21"/>
                <w:szCs w:val="21"/>
                <w:shd w:val="clear" w:color="auto" w:fill="FFFFFF"/>
                <w:lang w:eastAsia="es-ES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H.SEM.7</w:t>
            </w:r>
          </w:p>
        </w:tc>
        <w:tc>
          <w:tcPr>
            <w:tcW w:w="1457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H.TOT.224</w:t>
            </w:r>
          </w:p>
        </w:tc>
      </w:tr>
      <w:tr w:rsidR="00EE755E" w:rsidTr="00D060F5">
        <w:tc>
          <w:tcPr>
            <w:tcW w:w="1526" w:type="dxa"/>
          </w:tcPr>
          <w:p w:rsidR="00EE755E" w:rsidRDefault="00EE755E" w:rsidP="00D060F5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3019</w:t>
            </w:r>
          </w:p>
        </w:tc>
        <w:tc>
          <w:tcPr>
            <w:tcW w:w="5768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t>Ciencias aplicadas I</w:t>
            </w:r>
            <w:r>
              <w:t>I</w:t>
            </w:r>
          </w:p>
        </w:tc>
        <w:tc>
          <w:tcPr>
            <w:tcW w:w="1461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5</w:t>
            </w:r>
          </w:p>
        </w:tc>
        <w:tc>
          <w:tcPr>
            <w:tcW w:w="1457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130</w:t>
            </w:r>
          </w:p>
        </w:tc>
      </w:tr>
      <w:tr w:rsidR="00EE755E" w:rsidTr="00D060F5">
        <w:tc>
          <w:tcPr>
            <w:tcW w:w="1526" w:type="dxa"/>
          </w:tcPr>
          <w:p w:rsidR="00EE755E" w:rsidRDefault="00EE755E" w:rsidP="00D060F5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3012</w:t>
            </w:r>
          </w:p>
        </w:tc>
        <w:tc>
          <w:tcPr>
            <w:tcW w:w="5768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t>Comunicación y sociedad II</w:t>
            </w:r>
          </w:p>
        </w:tc>
        <w:tc>
          <w:tcPr>
            <w:tcW w:w="1461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7</w:t>
            </w:r>
          </w:p>
        </w:tc>
        <w:tc>
          <w:tcPr>
            <w:tcW w:w="1457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182</w:t>
            </w:r>
          </w:p>
        </w:tc>
      </w:tr>
      <w:tr w:rsidR="00EE755E" w:rsidTr="00D060F5">
        <w:tc>
          <w:tcPr>
            <w:tcW w:w="1526" w:type="dxa"/>
          </w:tcPr>
          <w:p w:rsidR="00EE755E" w:rsidRDefault="00EE755E" w:rsidP="00D060F5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3084</w:t>
            </w:r>
          </w:p>
        </w:tc>
        <w:tc>
          <w:tcPr>
            <w:tcW w:w="5768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t>Falsos techos</w:t>
            </w:r>
          </w:p>
        </w:tc>
        <w:tc>
          <w:tcPr>
            <w:tcW w:w="1461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4</w:t>
            </w:r>
          </w:p>
        </w:tc>
        <w:tc>
          <w:tcPr>
            <w:tcW w:w="1457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104</w:t>
            </w:r>
          </w:p>
        </w:tc>
      </w:tr>
      <w:tr w:rsidR="00EE755E" w:rsidTr="00D060F5">
        <w:tc>
          <w:tcPr>
            <w:tcW w:w="1526" w:type="dxa"/>
          </w:tcPr>
          <w:p w:rsidR="00EE755E" w:rsidRDefault="00EE755E" w:rsidP="00D060F5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3089</w:t>
            </w:r>
          </w:p>
        </w:tc>
        <w:tc>
          <w:tcPr>
            <w:tcW w:w="5768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t>Formación en centros de trabajo</w:t>
            </w:r>
          </w:p>
        </w:tc>
        <w:tc>
          <w:tcPr>
            <w:tcW w:w="1461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0</w:t>
            </w:r>
          </w:p>
        </w:tc>
        <w:tc>
          <w:tcPr>
            <w:tcW w:w="1457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260</w:t>
            </w:r>
          </w:p>
        </w:tc>
      </w:tr>
      <w:tr w:rsidR="00EE755E" w:rsidTr="00D060F5">
        <w:tc>
          <w:tcPr>
            <w:tcW w:w="1526" w:type="dxa"/>
          </w:tcPr>
          <w:p w:rsidR="00EE755E" w:rsidRDefault="00EE755E" w:rsidP="00D060F5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3085</w:t>
            </w:r>
          </w:p>
        </w:tc>
        <w:tc>
          <w:tcPr>
            <w:tcW w:w="5768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t>Pintura y empapelado</w:t>
            </w:r>
          </w:p>
        </w:tc>
        <w:tc>
          <w:tcPr>
            <w:tcW w:w="1461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5</w:t>
            </w:r>
          </w:p>
        </w:tc>
        <w:tc>
          <w:tcPr>
            <w:tcW w:w="1457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130</w:t>
            </w:r>
          </w:p>
        </w:tc>
      </w:tr>
      <w:tr w:rsidR="00EE755E" w:rsidTr="00D060F5">
        <w:tc>
          <w:tcPr>
            <w:tcW w:w="1526" w:type="dxa"/>
          </w:tcPr>
          <w:p w:rsidR="00EE755E" w:rsidRDefault="00EE755E" w:rsidP="00D060F5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lastRenderedPageBreak/>
              <w:t>3086</w:t>
            </w:r>
          </w:p>
        </w:tc>
        <w:tc>
          <w:tcPr>
            <w:tcW w:w="5768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t>Reformas y mantenimiento básico de edificios</w:t>
            </w:r>
          </w:p>
        </w:tc>
        <w:tc>
          <w:tcPr>
            <w:tcW w:w="1461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7</w:t>
            </w:r>
          </w:p>
        </w:tc>
        <w:tc>
          <w:tcPr>
            <w:tcW w:w="1457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182</w:t>
            </w:r>
          </w:p>
        </w:tc>
      </w:tr>
      <w:tr w:rsidR="00EE755E" w:rsidTr="00D060F5">
        <w:tc>
          <w:tcPr>
            <w:tcW w:w="1526" w:type="dxa"/>
          </w:tcPr>
          <w:p w:rsidR="00EE755E" w:rsidRDefault="00EE755E" w:rsidP="00D060F5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9998</w:t>
            </w:r>
          </w:p>
        </w:tc>
        <w:tc>
          <w:tcPr>
            <w:tcW w:w="5768" w:type="dxa"/>
          </w:tcPr>
          <w:p w:rsidR="00EE755E" w:rsidRDefault="00EE755E" w:rsidP="00D060F5">
            <w:r>
              <w:t>Tutoría FBP 2º</w:t>
            </w:r>
          </w:p>
        </w:tc>
        <w:tc>
          <w:tcPr>
            <w:tcW w:w="1461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1</w:t>
            </w:r>
          </w:p>
        </w:tc>
        <w:tc>
          <w:tcPr>
            <w:tcW w:w="1457" w:type="dxa"/>
          </w:tcPr>
          <w:p w:rsidR="00EE755E" w:rsidRDefault="00FE5A11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26</w:t>
            </w:r>
          </w:p>
        </w:tc>
      </w:tr>
      <w:tr w:rsidR="00EE755E" w:rsidTr="00D060F5">
        <w:tc>
          <w:tcPr>
            <w:tcW w:w="1526" w:type="dxa"/>
          </w:tcPr>
          <w:p w:rsidR="00EE755E" w:rsidRDefault="00EE755E" w:rsidP="00D060F5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9999</w:t>
            </w:r>
          </w:p>
        </w:tc>
        <w:tc>
          <w:tcPr>
            <w:tcW w:w="5768" w:type="dxa"/>
          </w:tcPr>
          <w:p w:rsidR="00EE755E" w:rsidRDefault="00EE755E" w:rsidP="00D060F5">
            <w:r>
              <w:t>U.F. Prevención FPB</w:t>
            </w:r>
          </w:p>
        </w:tc>
        <w:tc>
          <w:tcPr>
            <w:tcW w:w="1461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1</w:t>
            </w:r>
          </w:p>
        </w:tc>
        <w:tc>
          <w:tcPr>
            <w:tcW w:w="1457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26</w:t>
            </w:r>
          </w:p>
        </w:tc>
      </w:tr>
    </w:tbl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FE5A11" w:rsidRPr="00FE5A11" w:rsidRDefault="00FE5A11" w:rsidP="00FE5A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</w:pPr>
      <w:r w:rsidRPr="00FE5A11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t>Real Decreto:</w:t>
      </w:r>
      <w:r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t xml:space="preserve"> </w:t>
      </w:r>
      <w:hyperlink r:id="rId6" w:tgtFrame="_blank" w:history="1">
        <w:r w:rsidRPr="00FE5A11">
          <w:rPr>
            <w:rFonts w:ascii="Verdana" w:eastAsia="Times New Roman" w:hAnsi="Verdana" w:cs="Times New Roman"/>
            <w:color w:val="087021"/>
            <w:sz w:val="21"/>
            <w:szCs w:val="21"/>
            <w:u w:val="single"/>
            <w:lang w:eastAsia="es-ES"/>
          </w:rPr>
          <w:t>Real Decreto 127/2014, de 28 de febrero</w:t>
        </w:r>
      </w:hyperlink>
    </w:p>
    <w:p w:rsidR="00FE5A11" w:rsidRPr="00FE5A11" w:rsidRDefault="00FE5A11" w:rsidP="00FE5A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</w:pPr>
      <w:r w:rsidRPr="00FE5A11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t>Orden Andalucía:</w:t>
      </w:r>
      <w:r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t xml:space="preserve"> </w:t>
      </w:r>
      <w:hyperlink r:id="rId7" w:tgtFrame="_blank" w:history="1">
        <w:r w:rsidRPr="00FE5A11">
          <w:rPr>
            <w:rFonts w:ascii="Verdana" w:eastAsia="Times New Roman" w:hAnsi="Verdana" w:cs="Times New Roman"/>
            <w:color w:val="087021"/>
            <w:sz w:val="21"/>
            <w:szCs w:val="21"/>
            <w:lang w:eastAsia="es-ES"/>
          </w:rPr>
          <w:t>Orden en Andalucía y currículo</w:t>
        </w:r>
        <w:bookmarkStart w:id="0" w:name="_GoBack"/>
        <w:bookmarkEnd w:id="0"/>
        <w:r w:rsidRPr="00FE5A11">
          <w:rPr>
            <w:rFonts w:ascii="Verdana" w:eastAsia="Times New Roman" w:hAnsi="Verdana" w:cs="Times New Roman"/>
            <w:color w:val="087021"/>
            <w:sz w:val="21"/>
            <w:szCs w:val="21"/>
            <w:lang w:eastAsia="es-ES"/>
          </w:rPr>
          <w:t>.</w:t>
        </w:r>
      </w:hyperlink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D80587" w:rsidRDefault="00D80587" w:rsidP="00D80587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374151"/>
          <w:sz w:val="30"/>
          <w:szCs w:val="30"/>
          <w:lang w:eastAsia="es-ES"/>
        </w:rPr>
      </w:pPr>
    </w:p>
    <w:p w:rsidR="00A82E6E" w:rsidRDefault="00C924EB"/>
    <w:sectPr w:rsidR="00A82E6E" w:rsidSect="00FE5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eXGyreHerosCn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695"/>
    <w:multiLevelType w:val="hybridMultilevel"/>
    <w:tmpl w:val="4A585F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D584D"/>
    <w:multiLevelType w:val="multilevel"/>
    <w:tmpl w:val="6F64C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F3497"/>
    <w:multiLevelType w:val="multilevel"/>
    <w:tmpl w:val="8BCA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A0A6C"/>
    <w:multiLevelType w:val="hybridMultilevel"/>
    <w:tmpl w:val="27787A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87"/>
    <w:rsid w:val="00220403"/>
    <w:rsid w:val="002B097B"/>
    <w:rsid w:val="00363DDF"/>
    <w:rsid w:val="005F334B"/>
    <w:rsid w:val="009E058B"/>
    <w:rsid w:val="00C924EB"/>
    <w:rsid w:val="00D36405"/>
    <w:rsid w:val="00D80587"/>
    <w:rsid w:val="00EE755E"/>
    <w:rsid w:val="00FE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87"/>
  </w:style>
  <w:style w:type="paragraph" w:styleId="Ttulo1">
    <w:name w:val="heading 1"/>
    <w:basedOn w:val="Normal"/>
    <w:next w:val="Normal"/>
    <w:link w:val="Ttulo1Car"/>
    <w:uiPriority w:val="9"/>
    <w:qFormat/>
    <w:rsid w:val="00D36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D36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80587"/>
    <w:pPr>
      <w:ind w:left="720"/>
      <w:contextualSpacing/>
    </w:p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4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40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4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405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3640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36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rtlet-title-text">
    <w:name w:val="portlet-title-text"/>
    <w:basedOn w:val="Fuentedeprrafopredeter"/>
    <w:rsid w:val="00D36405"/>
  </w:style>
  <w:style w:type="table" w:styleId="Tablaconcuadrcula">
    <w:name w:val="Table Grid"/>
    <w:basedOn w:val="Tablanormal"/>
    <w:uiPriority w:val="59"/>
    <w:rsid w:val="0036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E5A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87"/>
  </w:style>
  <w:style w:type="paragraph" w:styleId="Ttulo1">
    <w:name w:val="heading 1"/>
    <w:basedOn w:val="Normal"/>
    <w:next w:val="Normal"/>
    <w:link w:val="Ttulo1Car"/>
    <w:uiPriority w:val="9"/>
    <w:qFormat/>
    <w:rsid w:val="00D36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D36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80587"/>
    <w:pPr>
      <w:ind w:left="720"/>
      <w:contextualSpacing/>
    </w:p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4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40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4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405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3640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36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rtlet-title-text">
    <w:name w:val="portlet-title-text"/>
    <w:basedOn w:val="Fuentedeprrafopredeter"/>
    <w:rsid w:val="00D36405"/>
  </w:style>
  <w:style w:type="table" w:styleId="Tablaconcuadrcula">
    <w:name w:val="Table Grid"/>
    <w:basedOn w:val="Tablanormal"/>
    <w:uiPriority w:val="59"/>
    <w:rsid w:val="0036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E5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53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590702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32094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3612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0581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37999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437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651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1808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359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11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5432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9138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690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5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untadeandalucia.es/educacion/portals/galion/FPBAnexoXI_Reforma_Mantenimiento_Edificio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ntadeandalucia.es/educacion/portals/galion/RD/RD_15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Encarni Compán González</dc:creator>
  <cp:lastModifiedBy>Encarni Compán González</cp:lastModifiedBy>
  <cp:revision>2</cp:revision>
  <dcterms:created xsi:type="dcterms:W3CDTF">2023-04-26T19:03:00Z</dcterms:created>
  <dcterms:modified xsi:type="dcterms:W3CDTF">2023-04-26T19:03:00Z</dcterms:modified>
</cp:coreProperties>
</file>