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E770" w14:textId="77777777" w:rsidR="000A7349" w:rsidRPr="00180801" w:rsidRDefault="000A7349" w:rsidP="0018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gency FB" w:hAnsi="Agency FB"/>
          <w:b/>
          <w:bCs/>
          <w:sz w:val="24"/>
          <w:szCs w:val="24"/>
        </w:rPr>
      </w:pPr>
      <w:r w:rsidRPr="00180801">
        <w:rPr>
          <w:rFonts w:ascii="Agency FB" w:hAnsi="Agency FB"/>
          <w:b/>
          <w:bCs/>
          <w:sz w:val="24"/>
          <w:szCs w:val="24"/>
        </w:rPr>
        <w:t>DEPARTAMENTO DE BIOLOGÍA Y GEOLOGÍA DEL IES SENECA 14002972 (CÓRDOBA) CURSO 20-21</w:t>
      </w:r>
    </w:p>
    <w:p w14:paraId="5F2F869A" w14:textId="38048FF4" w:rsidR="000A7349" w:rsidRDefault="000A7349">
      <w:pPr>
        <w:rPr>
          <w:rFonts w:ascii="Cambria" w:hAnsi="Cambria"/>
        </w:rPr>
      </w:pPr>
    </w:p>
    <w:p w14:paraId="22136820" w14:textId="23EB95B9" w:rsidR="000A7349" w:rsidRDefault="000A7349" w:rsidP="00180801">
      <w:pPr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LA EVALU</w:t>
      </w:r>
      <w:r w:rsidR="00DE209F">
        <w:rPr>
          <w:rFonts w:ascii="Cambria" w:hAnsi="Cambria"/>
        </w:rPr>
        <w:t>A</w:t>
      </w:r>
      <w:r>
        <w:rPr>
          <w:rFonts w:ascii="Cambria" w:hAnsi="Cambria"/>
        </w:rPr>
        <w:t>CIÓN DE LAS MATERIAS DEL DEPARTAMENTO.</w:t>
      </w:r>
    </w:p>
    <w:p w14:paraId="07C85E77" w14:textId="5E66F575" w:rsidR="000A7349" w:rsidRDefault="000A7349">
      <w:pPr>
        <w:rPr>
          <w:rFonts w:ascii="Cambria" w:hAnsi="Cambria"/>
        </w:rPr>
      </w:pPr>
      <w:r>
        <w:rPr>
          <w:rFonts w:ascii="Cambria" w:hAnsi="Cambria"/>
        </w:rPr>
        <w:t>La evaluación de las materias atribuidas a profesores adscritos al departamento de BIOLOGÍA Y GEOLOGÍA del IES Séneca de Córdoba se realizará de acuerdo a la normativa vigente para la comunidad autónoma andaluza en el citado curso, también atenderá a lo referido a tal efecto en los documentos de organización del centro y a los siguientes aspectos aprobados por el conjunto de los profesores que componen el departamento.</w:t>
      </w:r>
    </w:p>
    <w:p w14:paraId="2EE36B5D" w14:textId="1BD13F41" w:rsidR="000A7349" w:rsidRDefault="000A7349">
      <w:pPr>
        <w:rPr>
          <w:rFonts w:ascii="Cambria" w:hAnsi="Cambria"/>
        </w:rPr>
      </w:pPr>
      <w:r>
        <w:rPr>
          <w:rFonts w:ascii="Cambria" w:hAnsi="Cambria"/>
        </w:rPr>
        <w:t xml:space="preserve">La evaluación se realizará atendiendo a los criterios de evaluación, estándares de aprendizaje descritos en la normativa de referencia.  Para la valoración de la adquisición de los criterios citados se </w:t>
      </w:r>
      <w:r w:rsidR="001A490D">
        <w:rPr>
          <w:rFonts w:ascii="Cambria" w:hAnsi="Cambria"/>
        </w:rPr>
        <w:t>utilizarán</w:t>
      </w:r>
      <w:r>
        <w:rPr>
          <w:rFonts w:ascii="Cambria" w:hAnsi="Cambria"/>
        </w:rPr>
        <w:t xml:space="preserve"> diferentes instrumentos de evaluación que agruparemos para su valoración en 3 grandes grupos que denominaremos: PRUEBAS ESCRITAS, PRODUCCIONES DE LOS ALUMNOS Y DE OBSERVACIÓN DIRECTA.</w:t>
      </w:r>
    </w:p>
    <w:p w14:paraId="3D5BFD34" w14:textId="3F9E9DFD" w:rsidR="000A7349" w:rsidRDefault="000A7349">
      <w:pPr>
        <w:rPr>
          <w:rFonts w:ascii="Cambria" w:hAnsi="Cambria"/>
        </w:rPr>
      </w:pPr>
      <w:r>
        <w:rPr>
          <w:rFonts w:ascii="Cambria" w:hAnsi="Cambria"/>
        </w:rPr>
        <w:t>Los bloques de instrumentos de evaluación serán valorados de cara a la evaluación de</w:t>
      </w:r>
      <w:r w:rsidR="001A490D">
        <w:rPr>
          <w:rFonts w:ascii="Cambria" w:hAnsi="Cambria"/>
        </w:rPr>
        <w:t xml:space="preserve"> los criterios de evaluación con la proporcionalidad reflejada en la siguiente tabla orientativa.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535"/>
        <w:gridCol w:w="2115"/>
        <w:gridCol w:w="2655"/>
        <w:gridCol w:w="3431"/>
      </w:tblGrid>
      <w:tr w:rsidR="00DE209F" w14:paraId="5C9FAD5B" w14:textId="77777777" w:rsidTr="00E63448">
        <w:trPr>
          <w:jc w:val="right"/>
        </w:trPr>
        <w:tc>
          <w:tcPr>
            <w:tcW w:w="0" w:type="auto"/>
            <w:vMerge w:val="restart"/>
            <w:vAlign w:val="center"/>
          </w:tcPr>
          <w:p w14:paraId="40C59D5F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MATERIA-CURSO</w:t>
            </w:r>
          </w:p>
        </w:tc>
        <w:tc>
          <w:tcPr>
            <w:tcW w:w="0" w:type="auto"/>
            <w:gridSpan w:val="3"/>
            <w:vAlign w:val="center"/>
          </w:tcPr>
          <w:p w14:paraId="783321AC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DE INSTRUMENTOS DE EVALAUCIÓN A UTILIZAR Y CARGA ORIENTATIVA BASADA EN CRITERIOS DE EVALUACIÓN</w:t>
            </w:r>
          </w:p>
        </w:tc>
      </w:tr>
      <w:tr w:rsidR="00DE209F" w14:paraId="62305431" w14:textId="77777777" w:rsidTr="00E63448">
        <w:trPr>
          <w:jc w:val="right"/>
        </w:trPr>
        <w:tc>
          <w:tcPr>
            <w:tcW w:w="0" w:type="auto"/>
            <w:vMerge/>
            <w:vAlign w:val="center"/>
          </w:tcPr>
          <w:p w14:paraId="74CA6F38" w14:textId="77777777" w:rsidR="00DE209F" w:rsidRDefault="00DE209F" w:rsidP="00E63448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519BE84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PRUEBAS ESCRITAS</w:t>
            </w:r>
          </w:p>
        </w:tc>
        <w:tc>
          <w:tcPr>
            <w:tcW w:w="0" w:type="auto"/>
            <w:vAlign w:val="center"/>
          </w:tcPr>
          <w:p w14:paraId="17AE9B82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OBSERVACIÓN DIRECTA</w:t>
            </w:r>
          </w:p>
        </w:tc>
        <w:tc>
          <w:tcPr>
            <w:tcW w:w="0" w:type="auto"/>
            <w:vAlign w:val="center"/>
          </w:tcPr>
          <w:p w14:paraId="20907DA1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PRODUCCIONES DE LOS ALUMNOS</w:t>
            </w:r>
          </w:p>
        </w:tc>
      </w:tr>
      <w:tr w:rsidR="00DE209F" w14:paraId="71C7388F" w14:textId="77777777" w:rsidTr="00E63448">
        <w:trPr>
          <w:jc w:val="right"/>
        </w:trPr>
        <w:tc>
          <w:tcPr>
            <w:tcW w:w="0" w:type="auto"/>
            <w:vAlign w:val="center"/>
          </w:tcPr>
          <w:p w14:paraId="731AB94F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ByG 1º ESO</w:t>
            </w:r>
          </w:p>
        </w:tc>
        <w:tc>
          <w:tcPr>
            <w:tcW w:w="0" w:type="auto"/>
            <w:vAlign w:val="center"/>
          </w:tcPr>
          <w:p w14:paraId="6343FFE9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42BD835B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7B65219B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008FD5D8" w14:textId="77777777" w:rsidTr="00E63448">
        <w:trPr>
          <w:jc w:val="right"/>
        </w:trPr>
        <w:tc>
          <w:tcPr>
            <w:tcW w:w="0" w:type="auto"/>
            <w:vAlign w:val="center"/>
          </w:tcPr>
          <w:p w14:paraId="02D1AC88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ByG 3º ESO</w:t>
            </w:r>
          </w:p>
        </w:tc>
        <w:tc>
          <w:tcPr>
            <w:tcW w:w="0" w:type="auto"/>
            <w:vAlign w:val="center"/>
          </w:tcPr>
          <w:p w14:paraId="40D48425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33DE55C3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738CEDE8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5C972DDD" w14:textId="77777777" w:rsidTr="00E63448">
        <w:trPr>
          <w:jc w:val="right"/>
        </w:trPr>
        <w:tc>
          <w:tcPr>
            <w:tcW w:w="0" w:type="auto"/>
            <w:vAlign w:val="center"/>
          </w:tcPr>
          <w:p w14:paraId="290B7CFD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PMAR 3º ESO</w:t>
            </w:r>
          </w:p>
        </w:tc>
        <w:tc>
          <w:tcPr>
            <w:tcW w:w="0" w:type="auto"/>
            <w:vAlign w:val="center"/>
          </w:tcPr>
          <w:p w14:paraId="38C6AE42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3917EFBC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6654C1AE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5158BC51" w14:textId="77777777" w:rsidTr="00E63448">
        <w:trPr>
          <w:jc w:val="right"/>
        </w:trPr>
        <w:tc>
          <w:tcPr>
            <w:tcW w:w="0" w:type="auto"/>
            <w:vAlign w:val="center"/>
          </w:tcPr>
          <w:p w14:paraId="2EC76894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ByG 4º ESO</w:t>
            </w:r>
          </w:p>
        </w:tc>
        <w:tc>
          <w:tcPr>
            <w:tcW w:w="0" w:type="auto"/>
            <w:vAlign w:val="center"/>
          </w:tcPr>
          <w:p w14:paraId="3303C1D2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322F56C7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5D20E0B1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29B8F21B" w14:textId="77777777" w:rsidTr="00E63448">
        <w:trPr>
          <w:jc w:val="right"/>
        </w:trPr>
        <w:tc>
          <w:tcPr>
            <w:tcW w:w="0" w:type="auto"/>
            <w:vAlign w:val="center"/>
          </w:tcPr>
          <w:p w14:paraId="543D5D58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CC 4º ESO</w:t>
            </w:r>
          </w:p>
        </w:tc>
        <w:tc>
          <w:tcPr>
            <w:tcW w:w="0" w:type="auto"/>
            <w:vAlign w:val="center"/>
          </w:tcPr>
          <w:p w14:paraId="5132E4B7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287D21F7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638CC045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7A918A49" w14:textId="77777777" w:rsidTr="00E63448">
        <w:trPr>
          <w:jc w:val="right"/>
        </w:trPr>
        <w:tc>
          <w:tcPr>
            <w:tcW w:w="0" w:type="auto"/>
            <w:vAlign w:val="center"/>
          </w:tcPr>
          <w:p w14:paraId="372CC3E2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ByG 1º BTO</w:t>
            </w:r>
          </w:p>
        </w:tc>
        <w:tc>
          <w:tcPr>
            <w:tcW w:w="0" w:type="auto"/>
            <w:vAlign w:val="center"/>
          </w:tcPr>
          <w:p w14:paraId="4B639948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46FC3360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544BCA02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5E6C324B" w14:textId="77777777" w:rsidTr="00E63448">
        <w:trPr>
          <w:jc w:val="right"/>
        </w:trPr>
        <w:tc>
          <w:tcPr>
            <w:tcW w:w="0" w:type="auto"/>
            <w:vAlign w:val="center"/>
          </w:tcPr>
          <w:p w14:paraId="3C731160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AA 1º BTO</w:t>
            </w:r>
          </w:p>
        </w:tc>
        <w:tc>
          <w:tcPr>
            <w:tcW w:w="0" w:type="auto"/>
            <w:vAlign w:val="center"/>
          </w:tcPr>
          <w:p w14:paraId="256E5749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151742F8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3870E774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2207D640" w14:textId="77777777" w:rsidTr="00E63448">
        <w:trPr>
          <w:jc w:val="right"/>
        </w:trPr>
        <w:tc>
          <w:tcPr>
            <w:tcW w:w="0" w:type="auto"/>
            <w:vAlign w:val="center"/>
          </w:tcPr>
          <w:p w14:paraId="77D24953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 2º BTO</w:t>
            </w:r>
          </w:p>
        </w:tc>
        <w:tc>
          <w:tcPr>
            <w:tcW w:w="0" w:type="auto"/>
            <w:vAlign w:val="center"/>
          </w:tcPr>
          <w:p w14:paraId="5953EC70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90%</w:t>
            </w:r>
          </w:p>
        </w:tc>
        <w:tc>
          <w:tcPr>
            <w:tcW w:w="0" w:type="auto"/>
            <w:vAlign w:val="center"/>
          </w:tcPr>
          <w:p w14:paraId="03A26520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5%</w:t>
            </w:r>
          </w:p>
        </w:tc>
        <w:tc>
          <w:tcPr>
            <w:tcW w:w="0" w:type="auto"/>
            <w:vAlign w:val="center"/>
          </w:tcPr>
          <w:p w14:paraId="080E2756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5%</w:t>
            </w:r>
          </w:p>
        </w:tc>
      </w:tr>
      <w:tr w:rsidR="00DE209F" w14:paraId="7156C874" w14:textId="77777777" w:rsidTr="00E63448">
        <w:trPr>
          <w:jc w:val="right"/>
        </w:trPr>
        <w:tc>
          <w:tcPr>
            <w:tcW w:w="0" w:type="auto"/>
            <w:vAlign w:val="center"/>
          </w:tcPr>
          <w:p w14:paraId="21B31E15" w14:textId="77777777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ICS 2º BTO</w:t>
            </w:r>
          </w:p>
        </w:tc>
        <w:tc>
          <w:tcPr>
            <w:tcW w:w="0" w:type="auto"/>
            <w:vAlign w:val="center"/>
          </w:tcPr>
          <w:p w14:paraId="6F95D462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62019BC0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72C1012B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DE209F" w14:paraId="37A02A50" w14:textId="77777777" w:rsidTr="00E63448">
        <w:trPr>
          <w:jc w:val="right"/>
        </w:trPr>
        <w:tc>
          <w:tcPr>
            <w:tcW w:w="0" w:type="auto"/>
            <w:vAlign w:val="center"/>
          </w:tcPr>
          <w:p w14:paraId="2954F178" w14:textId="6DCA6180" w:rsidR="00DE209F" w:rsidRDefault="00DE209F" w:rsidP="00E6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CTM</w:t>
            </w:r>
            <w:r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 2º BTO</w:t>
            </w:r>
          </w:p>
        </w:tc>
        <w:tc>
          <w:tcPr>
            <w:tcW w:w="0" w:type="auto"/>
            <w:vAlign w:val="center"/>
          </w:tcPr>
          <w:p w14:paraId="3AC04EA7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60%</w:t>
            </w:r>
          </w:p>
        </w:tc>
        <w:tc>
          <w:tcPr>
            <w:tcW w:w="0" w:type="auto"/>
            <w:vAlign w:val="center"/>
          </w:tcPr>
          <w:p w14:paraId="7E963022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0" w:type="auto"/>
            <w:vAlign w:val="center"/>
          </w:tcPr>
          <w:p w14:paraId="62C195E4" w14:textId="77777777" w:rsidR="00DE209F" w:rsidRDefault="00DE209F" w:rsidP="00E634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</w:tbl>
    <w:p w14:paraId="2801F49E" w14:textId="6E122923" w:rsidR="000A7349" w:rsidRDefault="000A7349">
      <w:pPr>
        <w:rPr>
          <w:rFonts w:ascii="Cambria" w:hAnsi="Cambria"/>
        </w:rPr>
      </w:pPr>
    </w:p>
    <w:p w14:paraId="49C11874" w14:textId="77777777" w:rsidR="000A7349" w:rsidRDefault="000A7349">
      <w:pPr>
        <w:rPr>
          <w:rFonts w:ascii="Cambria" w:hAnsi="Cambria"/>
        </w:rPr>
      </w:pPr>
    </w:p>
    <w:p w14:paraId="535BC1C3" w14:textId="416596D8" w:rsidR="00180801" w:rsidRDefault="0018080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922F185" w14:textId="77777777" w:rsidR="00180801" w:rsidRPr="00180801" w:rsidRDefault="00180801" w:rsidP="00180801">
      <w:pPr>
        <w:jc w:val="center"/>
        <w:rPr>
          <w:rFonts w:ascii="Agency FB" w:hAnsi="Agency FB"/>
          <w:b/>
          <w:bCs/>
          <w:sz w:val="24"/>
          <w:szCs w:val="24"/>
        </w:rPr>
      </w:pPr>
      <w:r w:rsidRPr="00180801">
        <w:rPr>
          <w:rFonts w:ascii="Agency FB" w:hAnsi="Agency FB"/>
          <w:b/>
          <w:bCs/>
          <w:sz w:val="24"/>
          <w:szCs w:val="24"/>
        </w:rPr>
        <w:lastRenderedPageBreak/>
        <w:t>DEPARTAMENTO DE BIOLOGÍA Y GEOLOGÍA DEL IES SENECA 14002972 (CÓRDOBA) CURSO 20-21</w:t>
      </w:r>
    </w:p>
    <w:p w14:paraId="7158B5EE" w14:textId="77777777" w:rsidR="000A7349" w:rsidRPr="000A7349" w:rsidRDefault="000A7349">
      <w:pPr>
        <w:rPr>
          <w:rFonts w:ascii="Cambria" w:hAnsi="Cambria"/>
        </w:rPr>
      </w:pPr>
    </w:p>
    <w:p w14:paraId="0607B33E" w14:textId="1FDBA7C3" w:rsidR="00D76BB3" w:rsidRPr="00180801" w:rsidRDefault="000A7349" w:rsidP="00180801">
      <w:pPr>
        <w:jc w:val="center"/>
        <w:rPr>
          <w:rFonts w:ascii="Cambria" w:hAnsi="Cambria"/>
          <w:u w:val="single"/>
        </w:rPr>
      </w:pPr>
      <w:r w:rsidRPr="00180801">
        <w:rPr>
          <w:rFonts w:ascii="Cambria" w:hAnsi="Cambria"/>
          <w:u w:val="single"/>
        </w:rPr>
        <w:t xml:space="preserve">PROCEDIMIENTO PARA LA RECUPERACIÓN DE LAS MATERIAS PENDIENTES </w:t>
      </w:r>
      <w:r w:rsidR="00DE209F" w:rsidRPr="00180801">
        <w:rPr>
          <w:rFonts w:ascii="Cambria" w:hAnsi="Cambria"/>
          <w:u w:val="single"/>
        </w:rPr>
        <w:t>DE CURSOS ANTERIORES</w:t>
      </w:r>
    </w:p>
    <w:p w14:paraId="29AFD658" w14:textId="3826FAC6" w:rsidR="00DE209F" w:rsidRDefault="00DE209F">
      <w:pPr>
        <w:rPr>
          <w:rFonts w:ascii="Cambria" w:hAnsi="Cambria"/>
        </w:rPr>
      </w:pPr>
      <w:r>
        <w:rPr>
          <w:rFonts w:ascii="Cambria" w:hAnsi="Cambria"/>
        </w:rPr>
        <w:t>Los alumnos con materias pendientes cursos anteriores adscritas al departamento de Biología y Geología del IES Séneca, se recuperarán mediante lo descrito a continuación.</w:t>
      </w:r>
    </w:p>
    <w:p w14:paraId="4A6F4D6E" w14:textId="57593180" w:rsidR="00DE209F" w:rsidRDefault="00DE209F">
      <w:pPr>
        <w:rPr>
          <w:rFonts w:ascii="Cambria" w:hAnsi="Cambria"/>
        </w:rPr>
      </w:pPr>
      <w:r>
        <w:rPr>
          <w:rFonts w:ascii="Cambria" w:hAnsi="Cambria"/>
        </w:rPr>
        <w:t>El profesor de referencia, tutor y responsable de su evaluación y calificación es que ejerce la jefatura del departamento.</w:t>
      </w:r>
    </w:p>
    <w:p w14:paraId="3329867B" w14:textId="0B3322A3" w:rsidR="00DE209F" w:rsidRPr="00BC210A" w:rsidRDefault="00DE209F">
      <w:pPr>
        <w:rPr>
          <w:rFonts w:ascii="Cambria" w:hAnsi="Cambria"/>
          <w:u w:val="single"/>
        </w:rPr>
      </w:pPr>
      <w:r w:rsidRPr="00BC210A">
        <w:rPr>
          <w:rFonts w:ascii="Cambria" w:hAnsi="Cambria"/>
          <w:u w:val="single"/>
        </w:rPr>
        <w:t>Alumnos con la materia BIOLOGÍA Y GEOLOGÍA de 1º de ESO pendiente de cursos anteriores.</w:t>
      </w:r>
    </w:p>
    <w:p w14:paraId="43C48FF8" w14:textId="3194EEFD" w:rsidR="00DE209F" w:rsidRDefault="00DE209F">
      <w:pPr>
        <w:rPr>
          <w:rFonts w:ascii="Cambria" w:hAnsi="Cambria"/>
        </w:rPr>
      </w:pPr>
      <w:r>
        <w:rPr>
          <w:rFonts w:ascii="Cambria" w:hAnsi="Cambria"/>
        </w:rPr>
        <w:t xml:space="preserve">Se ha creado un aula de </w:t>
      </w:r>
      <w:proofErr w:type="spellStart"/>
      <w:r>
        <w:rPr>
          <w:rFonts w:ascii="Cambria" w:hAnsi="Cambria"/>
        </w:rPr>
        <w:t>classroom</w:t>
      </w:r>
      <w:proofErr w:type="spellEnd"/>
      <w:r>
        <w:rPr>
          <w:rFonts w:ascii="Cambria" w:hAnsi="Cambria"/>
        </w:rPr>
        <w:t xml:space="preserve"> donde tienen a su disposición los materiales necesarios para superar los contenidos propuestos. </w:t>
      </w:r>
    </w:p>
    <w:p w14:paraId="3732D812" w14:textId="650372CE" w:rsidR="00DE209F" w:rsidRDefault="00DE209F">
      <w:pPr>
        <w:rPr>
          <w:rFonts w:ascii="Cambria" w:hAnsi="Cambria"/>
        </w:rPr>
      </w:pPr>
      <w:r>
        <w:rPr>
          <w:rFonts w:ascii="Cambria" w:hAnsi="Cambria"/>
        </w:rPr>
        <w:t xml:space="preserve">Tienen a su disposición tutorías personales durante los recreos de martes y viernes en el laboratorio de Biología y Geología previa cita, además pueden concertar </w:t>
      </w:r>
      <w:r w:rsidR="00BC210A">
        <w:rPr>
          <w:rFonts w:ascii="Cambria" w:hAnsi="Cambria"/>
        </w:rPr>
        <w:t>tutorías</w:t>
      </w:r>
      <w:r>
        <w:rPr>
          <w:rFonts w:ascii="Cambria" w:hAnsi="Cambria"/>
        </w:rPr>
        <w:t xml:space="preserve"> telemáticas a través de su aula de </w:t>
      </w:r>
      <w:proofErr w:type="spellStart"/>
      <w:r>
        <w:rPr>
          <w:rFonts w:ascii="Cambria" w:hAnsi="Cambria"/>
        </w:rPr>
        <w:t>classroom</w:t>
      </w:r>
      <w:proofErr w:type="spellEnd"/>
      <w:r>
        <w:rPr>
          <w:rFonts w:ascii="Cambria" w:hAnsi="Cambria"/>
        </w:rPr>
        <w:t>.</w:t>
      </w:r>
    </w:p>
    <w:p w14:paraId="5B1B74B5" w14:textId="77777777" w:rsidR="00BC210A" w:rsidRPr="00BC210A" w:rsidRDefault="00BC210A" w:rsidP="00BC210A">
      <w:pPr>
        <w:spacing w:after="0"/>
        <w:rPr>
          <w:rFonts w:ascii="Cambria" w:hAnsi="Cambria"/>
        </w:rPr>
      </w:pPr>
      <w:r w:rsidRPr="00BC210A">
        <w:rPr>
          <w:rFonts w:ascii="Cambria" w:hAnsi="Cambria"/>
        </w:rPr>
        <w:t>Para superar la materia tendrán 2 opciones no excluyentes:</w:t>
      </w:r>
    </w:p>
    <w:p w14:paraId="475936C5" w14:textId="77777777" w:rsidR="00BC210A" w:rsidRPr="000A1D10" w:rsidRDefault="00BC210A" w:rsidP="00BC210A">
      <w:pPr>
        <w:pStyle w:val="Prrafodelista"/>
        <w:numPr>
          <w:ilvl w:val="0"/>
          <w:numId w:val="1"/>
        </w:numPr>
        <w:spacing w:after="0"/>
        <w:ind w:left="708"/>
        <w:rPr>
          <w:rFonts w:ascii="Cambria" w:hAnsi="Cambria"/>
        </w:rPr>
      </w:pPr>
      <w:r w:rsidRPr="000A1D10">
        <w:rPr>
          <w:rFonts w:ascii="Cambria" w:hAnsi="Cambria"/>
        </w:rPr>
        <w:t xml:space="preserve">Mensualmente se publicará una tarea que deben realizar y un cuestionario que deben completar relativo a una de las unidades vistas el curso anterior. La entrega de las tareas en tiempo y forma, su adecuado contenido, y la superación de los cuestionarios relativos a las unidades, les permitirá superar la materia pendiente. </w:t>
      </w:r>
    </w:p>
    <w:p w14:paraId="4496F670" w14:textId="77777777" w:rsidR="00BC210A" w:rsidRDefault="00BC210A" w:rsidP="00BC210A">
      <w:pPr>
        <w:pStyle w:val="Prrafodelista"/>
        <w:numPr>
          <w:ilvl w:val="0"/>
          <w:numId w:val="1"/>
        </w:numPr>
        <w:spacing w:after="0"/>
        <w:ind w:left="708"/>
        <w:rPr>
          <w:rFonts w:ascii="Cambria" w:hAnsi="Cambria"/>
        </w:rPr>
      </w:pPr>
      <w:r w:rsidRPr="000A1D10">
        <w:rPr>
          <w:rFonts w:ascii="Cambria" w:hAnsi="Cambria"/>
        </w:rPr>
        <w:t>Los alumnos que no opten por la primera opción y aquellos que no consigan superar la materia a través de esta podrán hacerlo mediante la superación de los exámenes correspondientes, que se realizarán a lo largo de la 2ª y 3ª evaluación, el primero relativo a los contenidos de las unidades de la primera evaluación del curso 19/20 y el segundo a los de la 2ª. Si algún alumno no pudiera quedar calificado de una de estas 2 formas, tendrá la opción de optar a un examen final durante el mes de junio.</w:t>
      </w:r>
    </w:p>
    <w:p w14:paraId="3E9F9788" w14:textId="196C7233" w:rsidR="00DE209F" w:rsidRDefault="00DE209F">
      <w:pPr>
        <w:rPr>
          <w:rFonts w:ascii="Cambria" w:hAnsi="Cambria"/>
        </w:rPr>
      </w:pPr>
    </w:p>
    <w:p w14:paraId="67C115D1" w14:textId="437DFAA4" w:rsidR="00BC210A" w:rsidRPr="00BC210A" w:rsidRDefault="00BC210A" w:rsidP="00BC210A">
      <w:pPr>
        <w:rPr>
          <w:rFonts w:ascii="Cambria" w:hAnsi="Cambria"/>
          <w:u w:val="single"/>
        </w:rPr>
      </w:pPr>
      <w:r w:rsidRPr="00BC210A">
        <w:rPr>
          <w:rFonts w:ascii="Cambria" w:hAnsi="Cambria"/>
          <w:u w:val="single"/>
        </w:rPr>
        <w:t xml:space="preserve">Alumnos con la materia BIOLOGÍA Y GEOLOGÍA de </w:t>
      </w:r>
      <w:r>
        <w:rPr>
          <w:rFonts w:ascii="Cambria" w:hAnsi="Cambria"/>
          <w:u w:val="single"/>
        </w:rPr>
        <w:t>3</w:t>
      </w:r>
      <w:r w:rsidRPr="00BC210A">
        <w:rPr>
          <w:rFonts w:ascii="Cambria" w:hAnsi="Cambria"/>
          <w:u w:val="single"/>
        </w:rPr>
        <w:t>º de ESO pendiente de cursos anteriores.</w:t>
      </w:r>
    </w:p>
    <w:p w14:paraId="7AC2E453" w14:textId="77777777" w:rsidR="000F278A" w:rsidRDefault="000F278A" w:rsidP="000F278A">
      <w:pPr>
        <w:rPr>
          <w:rFonts w:ascii="Cambria" w:hAnsi="Cambria"/>
        </w:rPr>
      </w:pPr>
      <w:r>
        <w:rPr>
          <w:rFonts w:ascii="Cambria" w:hAnsi="Cambria"/>
        </w:rPr>
        <w:t xml:space="preserve">Se ha creado un aula de </w:t>
      </w:r>
      <w:proofErr w:type="spellStart"/>
      <w:r>
        <w:rPr>
          <w:rFonts w:ascii="Cambria" w:hAnsi="Cambria"/>
        </w:rPr>
        <w:t>classroom</w:t>
      </w:r>
      <w:proofErr w:type="spellEnd"/>
      <w:r>
        <w:rPr>
          <w:rFonts w:ascii="Cambria" w:hAnsi="Cambria"/>
        </w:rPr>
        <w:t xml:space="preserve"> donde tienen a su disposición los materiales necesarios para superar los contenidos propuestos. </w:t>
      </w:r>
    </w:p>
    <w:p w14:paraId="21BE3AD7" w14:textId="77777777" w:rsidR="000F278A" w:rsidRDefault="000F278A" w:rsidP="000F278A">
      <w:pPr>
        <w:rPr>
          <w:rFonts w:ascii="Cambria" w:hAnsi="Cambria"/>
        </w:rPr>
      </w:pPr>
      <w:r>
        <w:rPr>
          <w:rFonts w:ascii="Cambria" w:hAnsi="Cambria"/>
        </w:rPr>
        <w:t xml:space="preserve">Tienen a su disposición tutorías personales durante los recreos de martes y viernes en el laboratorio de Biología y Geología previa cita, además pueden concertar tutorías telemáticas a través de su aula de </w:t>
      </w:r>
      <w:proofErr w:type="spellStart"/>
      <w:r>
        <w:rPr>
          <w:rFonts w:ascii="Cambria" w:hAnsi="Cambria"/>
        </w:rPr>
        <w:t>classroom</w:t>
      </w:r>
      <w:proofErr w:type="spellEnd"/>
      <w:r>
        <w:rPr>
          <w:rFonts w:ascii="Cambria" w:hAnsi="Cambria"/>
        </w:rPr>
        <w:t>.</w:t>
      </w:r>
    </w:p>
    <w:p w14:paraId="19E41928" w14:textId="77777777" w:rsidR="000F278A" w:rsidRPr="00BC210A" w:rsidRDefault="000F278A" w:rsidP="000F278A">
      <w:pPr>
        <w:spacing w:after="0"/>
        <w:rPr>
          <w:rFonts w:ascii="Cambria" w:hAnsi="Cambria"/>
        </w:rPr>
      </w:pPr>
      <w:r w:rsidRPr="00BC210A">
        <w:rPr>
          <w:rFonts w:ascii="Cambria" w:hAnsi="Cambria"/>
        </w:rPr>
        <w:t>Para superar la materia tendrán 2 opciones no excluyentes:</w:t>
      </w:r>
    </w:p>
    <w:p w14:paraId="5EA5DF35" w14:textId="77777777" w:rsidR="000F278A" w:rsidRPr="000A1D10" w:rsidRDefault="000F278A" w:rsidP="000F278A">
      <w:pPr>
        <w:pStyle w:val="Prrafodelista"/>
        <w:numPr>
          <w:ilvl w:val="0"/>
          <w:numId w:val="2"/>
        </w:numPr>
        <w:spacing w:after="0"/>
        <w:rPr>
          <w:rFonts w:ascii="Cambria" w:hAnsi="Cambria"/>
        </w:rPr>
      </w:pPr>
      <w:r w:rsidRPr="000A1D10">
        <w:rPr>
          <w:rFonts w:ascii="Cambria" w:hAnsi="Cambria"/>
        </w:rPr>
        <w:t xml:space="preserve">Mensualmente se publicará una tarea que deben realizar y un cuestionario que deben completar relativo a una de las unidades vistas el curso anterior. La entrega de las tareas en tiempo y forma, su adecuado contenido, y la superación de los cuestionarios relativos a las unidades, les permitirá superar la materia pendiente. </w:t>
      </w:r>
    </w:p>
    <w:p w14:paraId="1C70DFA1" w14:textId="77777777" w:rsidR="000F278A" w:rsidRDefault="000F278A" w:rsidP="000F278A">
      <w:pPr>
        <w:pStyle w:val="Prrafodelista"/>
        <w:numPr>
          <w:ilvl w:val="0"/>
          <w:numId w:val="2"/>
        </w:numPr>
        <w:spacing w:after="0"/>
        <w:ind w:left="708"/>
        <w:rPr>
          <w:rFonts w:ascii="Cambria" w:hAnsi="Cambria"/>
        </w:rPr>
      </w:pPr>
      <w:r w:rsidRPr="000A1D10">
        <w:rPr>
          <w:rFonts w:ascii="Cambria" w:hAnsi="Cambria"/>
        </w:rPr>
        <w:t>Los alumnos que no opten por la primera opción y aquellos que no consigan superar la materia a través de esta podrán hacerlo mediante la superación de los exámenes correspondientes, que se realizarán a lo largo de la 2ª y 3ª evaluación, el primero relativo a los contenidos de las unidades de la primera evaluación del curso 19/20 y el segundo a los de la 2ª. Si algún alumno no pudiera quedar calificado de una de estas 2 formas, tendrá la opción de optar a un examen final durante el mes de junio.</w:t>
      </w:r>
    </w:p>
    <w:p w14:paraId="75696040" w14:textId="77777777" w:rsidR="00BC210A" w:rsidRPr="000A7349" w:rsidRDefault="00BC210A">
      <w:pPr>
        <w:rPr>
          <w:rFonts w:ascii="Cambria" w:hAnsi="Cambria"/>
        </w:rPr>
      </w:pPr>
    </w:p>
    <w:sectPr w:rsidR="00BC210A" w:rsidRPr="000A7349" w:rsidSect="000A73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1E00" w14:textId="77777777" w:rsidR="000A7349" w:rsidRDefault="000A7349" w:rsidP="000A7349">
      <w:pPr>
        <w:spacing w:after="0" w:line="240" w:lineRule="auto"/>
      </w:pPr>
      <w:r>
        <w:separator/>
      </w:r>
    </w:p>
  </w:endnote>
  <w:endnote w:type="continuationSeparator" w:id="0">
    <w:p w14:paraId="060A19BC" w14:textId="77777777" w:rsidR="000A7349" w:rsidRDefault="000A7349" w:rsidP="000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5C0C" w14:textId="77777777" w:rsidR="000A7349" w:rsidRDefault="000A7349" w:rsidP="000A7349">
      <w:pPr>
        <w:spacing w:after="0" w:line="240" w:lineRule="auto"/>
      </w:pPr>
      <w:r>
        <w:separator/>
      </w:r>
    </w:p>
  </w:footnote>
  <w:footnote w:type="continuationSeparator" w:id="0">
    <w:p w14:paraId="42206273" w14:textId="77777777" w:rsidR="000A7349" w:rsidRDefault="000A7349" w:rsidP="000A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95C"/>
    <w:multiLevelType w:val="hybridMultilevel"/>
    <w:tmpl w:val="ED0228D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D51AC2"/>
    <w:multiLevelType w:val="hybridMultilevel"/>
    <w:tmpl w:val="ED0228D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49"/>
    <w:rsid w:val="000A7349"/>
    <w:rsid w:val="000F278A"/>
    <w:rsid w:val="00180801"/>
    <w:rsid w:val="001A490D"/>
    <w:rsid w:val="00BC210A"/>
    <w:rsid w:val="00D76BB3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17C1"/>
  <w15:chartTrackingRefBased/>
  <w15:docId w15:val="{6F2F036A-C543-40C9-95AC-E636F76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349"/>
  </w:style>
  <w:style w:type="paragraph" w:styleId="Piedepgina">
    <w:name w:val="footer"/>
    <w:basedOn w:val="Normal"/>
    <w:link w:val="PiedepginaCar"/>
    <w:uiPriority w:val="99"/>
    <w:unhideWhenUsed/>
    <w:rsid w:val="000A7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349"/>
  </w:style>
  <w:style w:type="table" w:styleId="Tablaconcuadrcula">
    <w:name w:val="Table Grid"/>
    <w:basedOn w:val="Tablanormal"/>
    <w:uiPriority w:val="39"/>
    <w:rsid w:val="00DE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retamosa</dc:creator>
  <cp:keywords/>
  <dc:description/>
  <cp:lastModifiedBy>f retamosa</cp:lastModifiedBy>
  <cp:revision>2</cp:revision>
  <dcterms:created xsi:type="dcterms:W3CDTF">2021-01-14T19:04:00Z</dcterms:created>
  <dcterms:modified xsi:type="dcterms:W3CDTF">2021-01-14T19:04:00Z</dcterms:modified>
</cp:coreProperties>
</file>