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670"/>
        <w:gridCol w:w="1843"/>
      </w:tblGrid>
      <w:tr>
        <w:tc>
          <w:tcPr>
            <w:tcW w:w="1844" w:type="dxa"/>
          </w:tcPr>
          <w:p>
            <w:pPr>
              <w:tabs>
                <w:tab w:val="center" w:pos="4252"/>
                <w:tab w:val="right" w:pos="8504"/>
              </w:tabs>
              <w:spacing w:after="0" w:line="240" w:lineRule="auto"/>
              <w:rPr>
                <w:rFonts w:ascii="Times New Roman" w:eastAsia="Times New Roman" w:hAnsi="Times New Roman" w:cs="Times New Roman"/>
                <w:sz w:val="24"/>
                <w:szCs w:val="24"/>
                <w:lang w:eastAsia="es-ES"/>
              </w:rPr>
            </w:pPr>
            <w:r>
              <w:rPr>
                <w:rFonts w:ascii="Arial" w:eastAsia="Times New Roman" w:hAnsi="Arial" w:cs="Arial"/>
                <w:sz w:val="16"/>
                <w:szCs w:val="16"/>
                <w:lang w:eastAsia="es-ES"/>
              </w:rPr>
              <w:t xml:space="preserve">      </w:t>
            </w:r>
            <w:r>
              <w:rPr>
                <w:rFonts w:ascii="Arial" w:eastAsia="Times New Roman" w:hAnsi="Arial" w:cs="Arial"/>
                <w:noProof/>
                <w:color w:val="1122CC"/>
                <w:sz w:val="16"/>
                <w:szCs w:val="16"/>
                <w:lang w:eastAsia="es-ES"/>
              </w:rPr>
              <w:drawing>
                <wp:inline distT="0" distB="0" distL="0" distR="0">
                  <wp:extent cx="609600" cy="731520"/>
                  <wp:effectExtent l="19050" t="0" r="0" b="0"/>
                  <wp:docPr id="2" name="Imagen 2" descr="http://t1.gstatic.com/images?q=tbn:ANd9GcS1DNH_ZQITiFRaays6qGysCcpfdm71mStuLDCqJiCmFxZa5pWFlf_KCn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1.gstatic.com/images?q=tbn:ANd9GcS1DNH_ZQITiFRaays6qGysCcpfdm71mStuLDCqJiCmFxZa5pWFlf_KCns">
                            <a:hlinkClick r:id="rId4"/>
                          </pic:cNvPr>
                          <pic:cNvPicPr>
                            <a:picLocks noChangeAspect="1" noChangeArrowheads="1"/>
                          </pic:cNvPicPr>
                        </pic:nvPicPr>
                        <pic:blipFill>
                          <a:blip r:embed="rId5"/>
                          <a:srcRect/>
                          <a:stretch>
                            <a:fillRect/>
                          </a:stretch>
                        </pic:blipFill>
                        <pic:spPr bwMode="auto">
                          <a:xfrm>
                            <a:off x="0" y="0"/>
                            <a:ext cx="609600" cy="731520"/>
                          </a:xfrm>
                          <a:prstGeom prst="rect">
                            <a:avLst/>
                          </a:prstGeom>
                          <a:noFill/>
                          <a:ln w="9525">
                            <a:noFill/>
                            <a:miter lim="800000"/>
                            <a:headEnd/>
                            <a:tailEnd/>
                          </a:ln>
                        </pic:spPr>
                      </pic:pic>
                    </a:graphicData>
                  </a:graphic>
                </wp:inline>
              </w:drawing>
            </w:r>
          </w:p>
        </w:tc>
        <w:tc>
          <w:tcPr>
            <w:tcW w:w="5670" w:type="dxa"/>
          </w:tcPr>
          <w:p>
            <w:pPr>
              <w:tabs>
                <w:tab w:val="center" w:pos="4252"/>
                <w:tab w:val="right" w:pos="8504"/>
              </w:tabs>
              <w:spacing w:after="0" w:line="240" w:lineRule="auto"/>
              <w:rPr>
                <w:rFonts w:ascii="Arial Rounded MT Bold" w:eastAsia="Times New Roman" w:hAnsi="Arial Rounded MT Bold" w:cs="Times New Roman"/>
                <w:b/>
                <w:lang w:eastAsia="es-ES"/>
              </w:rPr>
            </w:pPr>
            <w:r>
              <w:rPr>
                <w:rFonts w:ascii="Arial Rounded MT Bold" w:eastAsia="Times New Roman" w:hAnsi="Arial Rounded MT Bold" w:cs="Times New Roman"/>
                <w:b/>
                <w:lang w:eastAsia="es-ES"/>
              </w:rPr>
              <w:t>I.E.S. Séneca</w:t>
            </w:r>
          </w:p>
          <w:p>
            <w:pPr>
              <w:tabs>
                <w:tab w:val="center" w:pos="4252"/>
                <w:tab w:val="right" w:pos="8504"/>
              </w:tabs>
              <w:spacing w:after="0" w:line="240" w:lineRule="auto"/>
              <w:rPr>
                <w:rFonts w:ascii="Arial Rounded MT Bold" w:eastAsia="Times New Roman" w:hAnsi="Arial Rounded MT Bold" w:cs="Times New Roman"/>
                <w:sz w:val="18"/>
                <w:szCs w:val="18"/>
                <w:lang w:eastAsia="es-ES"/>
              </w:rPr>
            </w:pPr>
            <w:r>
              <w:rPr>
                <w:rFonts w:ascii="Arial Rounded MT Bold" w:eastAsia="Times New Roman" w:hAnsi="Arial Rounded MT Bold" w:cs="Times New Roman"/>
                <w:sz w:val="18"/>
                <w:szCs w:val="18"/>
                <w:lang w:eastAsia="es-ES"/>
              </w:rPr>
              <w:t>C/ Menéndez Pidal s/n</w:t>
            </w:r>
          </w:p>
          <w:p>
            <w:pPr>
              <w:tabs>
                <w:tab w:val="center" w:pos="4252"/>
                <w:tab w:val="right" w:pos="8504"/>
              </w:tabs>
              <w:spacing w:after="0" w:line="240" w:lineRule="auto"/>
              <w:rPr>
                <w:rFonts w:ascii="Arial Rounded MT Bold" w:eastAsia="Times New Roman" w:hAnsi="Arial Rounded MT Bold" w:cs="Times New Roman"/>
                <w:sz w:val="18"/>
                <w:szCs w:val="18"/>
                <w:lang w:val="en-US" w:eastAsia="es-ES"/>
              </w:rPr>
            </w:pPr>
            <w:proofErr w:type="spellStart"/>
            <w:r>
              <w:rPr>
                <w:rFonts w:ascii="Arial Rounded MT Bold" w:eastAsia="Times New Roman" w:hAnsi="Arial Rounded MT Bold" w:cs="Times New Roman"/>
                <w:sz w:val="18"/>
                <w:szCs w:val="18"/>
                <w:lang w:val="en-US" w:eastAsia="es-ES"/>
              </w:rPr>
              <w:t>Tfnos</w:t>
            </w:r>
            <w:proofErr w:type="spellEnd"/>
            <w:r>
              <w:rPr>
                <w:rFonts w:ascii="Arial Rounded MT Bold" w:eastAsia="Times New Roman" w:hAnsi="Arial Rounded MT Bold" w:cs="Times New Roman"/>
                <w:sz w:val="18"/>
                <w:szCs w:val="18"/>
                <w:lang w:val="en-US" w:eastAsia="es-ES"/>
              </w:rPr>
              <w:t>: 957 73 48 06/ 600 14 31 72</w:t>
            </w:r>
          </w:p>
          <w:p>
            <w:pPr>
              <w:tabs>
                <w:tab w:val="center" w:pos="4252"/>
                <w:tab w:val="right" w:pos="8504"/>
              </w:tabs>
              <w:spacing w:after="0" w:line="240" w:lineRule="auto"/>
              <w:rPr>
                <w:rFonts w:ascii="Arial Rounded MT Bold" w:eastAsia="Times New Roman" w:hAnsi="Arial Rounded MT Bold" w:cs="Times New Roman"/>
                <w:sz w:val="18"/>
                <w:szCs w:val="18"/>
                <w:lang w:val="en-US" w:eastAsia="es-ES"/>
              </w:rPr>
            </w:pPr>
            <w:r>
              <w:rPr>
                <w:rFonts w:ascii="Arial Rounded MT Bold" w:eastAsia="Times New Roman" w:hAnsi="Arial Rounded MT Bold" w:cs="Times New Roman"/>
                <w:sz w:val="18"/>
                <w:szCs w:val="18"/>
                <w:lang w:val="en-US" w:eastAsia="es-ES"/>
              </w:rPr>
              <w:t>Web: https://blogsaverroes.juntadeandalucia.es/iesseneca/</w:t>
            </w:r>
          </w:p>
        </w:tc>
        <w:tc>
          <w:tcPr>
            <w:tcW w:w="1843" w:type="dxa"/>
          </w:tcPr>
          <w:p>
            <w:pPr>
              <w:tabs>
                <w:tab w:val="center" w:pos="4252"/>
                <w:tab w:val="right" w:pos="8504"/>
              </w:tabs>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574040</wp:posOffset>
                      </wp:positionV>
                      <wp:extent cx="960120" cy="82550"/>
                      <wp:effectExtent l="5080" t="15875"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60120" cy="82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beforeAutospacing="0" w:after="0" w:afterAutospacing="0"/>
                                    <w:jc w:val="center"/>
                                    <w:rPr>
                                      <w:sz w:val="2"/>
                                    </w:rPr>
                                  </w:pPr>
                                  <w:r>
                                    <w:rPr>
                                      <w:rFonts w:ascii="Arial" w:hAnsi="Arial" w:cs="Arial"/>
                                      <w:b/>
                                      <w:bCs/>
                                      <w:color w:val="003300"/>
                                      <w:sz w:val="8"/>
                                      <w:szCs w:val="72"/>
                                    </w:rPr>
                                    <w:t>CONSEJERÍA DE EDUCACIÓN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3F7C43" id="_x0000_t202" coordsize="21600,21600" o:spt="202" path="m,l,21600r21600,l21600,xe">
                      <v:stroke joinstyle="miter"/>
                      <v:path gradientshapeok="t" o:connecttype="rect"/>
                    </v:shapetype>
                    <v:shape id="WordArt 3" o:spid="_x0000_s1026" type="#_x0000_t202" style="position:absolute;margin-left:5.55pt;margin-top:45.2pt;width:75.6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" filled="f" stroked="f">
                      <v:stroke joinstyle="round"/>
                      <o:lock v:ext="edit" shapetype="t"/>
                      <v:textbox style="mso-fit-shape-to-text:t">
                        <w:txbxContent>
                          <w:p w:rsidR="00440604" w:rsidRPr="00340DA5" w:rsidRDefault="00440604" w:rsidP="00440604">
                            <w:pPr>
                              <w:pStyle w:val="NormalWeb"/>
                              <w:spacing w:before="0" w:beforeAutospacing="0" w:after="0" w:afterAutospacing="0"/>
                              <w:jc w:val="center"/>
                              <w:rPr>
                                <w:sz w:val="2"/>
                              </w:rPr>
                            </w:pPr>
                            <w:r w:rsidRPr="00340DA5">
                              <w:rPr>
                                <w:rFonts w:ascii="Arial" w:hAnsi="Arial" w:cs="Arial"/>
                                <w:b/>
                                <w:bCs/>
                                <w:color w:val="003300"/>
                                <w:sz w:val="8"/>
                                <w:szCs w:val="72"/>
                              </w:rPr>
                              <w:t>CONSEJERÍA DE EDUCACIÓN</w:t>
                            </w:r>
                          </w:p>
                        </w:txbxContent>
                      </v:textbox>
                    </v:shape>
                  </w:pict>
                </mc:Fallback>
              </mc:AlternateContent>
            </w:r>
            <w:r>
              <w:rPr>
                <w:rFonts w:ascii="Times New Roman" w:eastAsia="Times New Roman" w:hAnsi="Times New Roman" w:cs="Times New Roman"/>
                <w:sz w:val="24"/>
                <w:szCs w:val="24"/>
                <w:lang w:val="en-US" w:eastAsia="es-ES"/>
              </w:rPr>
              <w:t xml:space="preserve">   </w:t>
            </w:r>
          </w:p>
          <w:p>
            <w:pPr>
              <w:spacing w:after="0" w:line="240" w:lineRule="auto"/>
              <w:jc w:val="center"/>
              <w:rPr>
                <w:rFonts w:ascii="Times New Roman" w:eastAsia="Times New Roman" w:hAnsi="Times New Roman" w:cs="Times New Roman"/>
                <w:sz w:val="24"/>
                <w:szCs w:val="24"/>
                <w:lang w:val="en-US" w:eastAsia="es-ES"/>
              </w:rPr>
            </w:pPr>
            <w:r>
              <w:rPr>
                <w:rFonts w:ascii="Times New Roman" w:eastAsia="Times New Roman" w:hAnsi="Times New Roman" w:cs="Times New Roman"/>
                <w:sz w:val="24"/>
                <w:szCs w:val="24"/>
                <w:lang w:val="en-US" w:eastAsia="es-ES"/>
              </w:rPr>
              <w:t xml:space="preserve">   </w:t>
            </w:r>
          </w:p>
          <w:p>
            <w:pPr>
              <w:spacing w:after="0" w:line="240" w:lineRule="auto"/>
              <w:rPr>
                <w:rFonts w:ascii="Times New Roman" w:eastAsia="Times New Roman" w:hAnsi="Times New Roman" w:cs="Times New Roman"/>
                <w:sz w:val="24"/>
                <w:szCs w:val="24"/>
                <w:lang w:val="en-US" w:eastAsia="es-ES"/>
              </w:rPr>
            </w:pPr>
            <w:r>
              <w:rPr>
                <w:rFonts w:ascii="Times New Roman" w:eastAsia="Times New Roman" w:hAnsi="Times New Roman" w:cs="Times New Roman"/>
                <w:noProof/>
                <w:sz w:val="24"/>
                <w:szCs w:val="24"/>
                <w:lang w:eastAsia="es-ES"/>
              </w:rPr>
              <w:drawing>
                <wp:anchor distT="0" distB="0" distL="114300" distR="114300" simplePos="0" relativeHeight="251660288" behindDoc="0" locked="0" layoutInCell="1" allowOverlap="1">
                  <wp:simplePos x="0" y="0"/>
                  <wp:positionH relativeFrom="column">
                    <wp:posOffset>189230</wp:posOffset>
                  </wp:positionH>
                  <wp:positionV relativeFrom="paragraph">
                    <wp:posOffset>-349250</wp:posOffset>
                  </wp:positionV>
                  <wp:extent cx="704850" cy="514350"/>
                  <wp:effectExtent l="19050" t="0" r="0" b="0"/>
                  <wp:wrapNone/>
                  <wp:docPr id="3" name="Imagen 2" descr="logo_junta_andalu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unta_andalucia"/>
                          <pic:cNvPicPr>
                            <a:picLocks noChangeAspect="1" noChangeArrowheads="1"/>
                          </pic:cNvPicPr>
                        </pic:nvPicPr>
                        <pic:blipFill>
                          <a:blip r:embed="rId6" cstate="print">
                            <a:clrChange>
                              <a:clrFrom>
                                <a:srgbClr val="FFFFFF"/>
                              </a:clrFrom>
                              <a:clrTo>
                                <a:srgbClr val="FFFFFF">
                                  <a:alpha val="0"/>
                                </a:srgbClr>
                              </a:clrTo>
                            </a:clrChange>
                            <a:lum bright="-12000"/>
                          </a:blip>
                          <a:srcRect/>
                          <a:stretch>
                            <a:fillRect/>
                          </a:stretch>
                        </pic:blipFill>
                        <pic:spPr bwMode="auto">
                          <a:xfrm>
                            <a:off x="0" y="0"/>
                            <a:ext cx="704850" cy="514350"/>
                          </a:xfrm>
                          <a:prstGeom prst="rect">
                            <a:avLst/>
                          </a:prstGeom>
                          <a:noFill/>
                        </pic:spPr>
                      </pic:pic>
                    </a:graphicData>
                  </a:graphic>
                </wp:anchor>
              </w:drawing>
            </w:r>
          </w:p>
          <w:p>
            <w:pPr>
              <w:spacing w:after="0" w:line="240" w:lineRule="auto"/>
              <w:jc w:val="center"/>
              <w:rPr>
                <w:rFonts w:ascii="Times New Roman" w:eastAsia="Times New Roman" w:hAnsi="Times New Roman" w:cs="Times New Roman"/>
                <w:sz w:val="24"/>
                <w:szCs w:val="24"/>
                <w:lang w:val="en-US" w:eastAsia="es-ES"/>
              </w:rPr>
            </w:pPr>
          </w:p>
        </w:tc>
      </w:tr>
    </w:tbl>
    <w:p>
      <w:pPr>
        <w:ind w:firstLine="708"/>
        <w:jc w:val="both"/>
        <w:rPr>
          <w:lang w:val="en-US"/>
        </w:rPr>
      </w:pPr>
    </w:p>
    <w:p>
      <w:pPr>
        <w:ind w:firstLine="708"/>
        <w:jc w:val="both"/>
      </w:pPr>
      <w:r>
        <w:t>Estimados miembros de la Comunidad Educativa del IES Séneca:</w:t>
      </w:r>
    </w:p>
    <w:p>
      <w:pPr>
        <w:ind w:firstLine="708"/>
        <w:jc w:val="both"/>
      </w:pPr>
      <w:r>
        <w:t xml:space="preserve">Los días 22,23 y 24 de noviembre, se van a realizar elecciones para renovar los componentes del Consejo Escolar de nuestro centro en cada uno de los sectores que deben quedar representados en el mismo. </w:t>
      </w:r>
    </w:p>
    <w:p>
      <w:pPr>
        <w:ind w:firstLine="708"/>
        <w:jc w:val="both"/>
      </w:pPr>
      <w:r>
        <w:t xml:space="preserve">Quiero agradecer sinceramente su participación a todas las personas que cesan en su cargo en el Consejo Escolar por su colaboración, apoyo e interés mostrado durante estos dos años en la toma de decisiones sobre aspectos fundamentales en la vida del centro.  </w:t>
      </w:r>
    </w:p>
    <w:p>
      <w:pPr>
        <w:ind w:firstLine="708"/>
        <w:jc w:val="both"/>
      </w:pPr>
      <w:r>
        <w:t>Desde aquí queremos animarles a que participen activamente en este proceso de elección para conformar el máximo órgano de decisión de nuestro centro docente. La educación es una tarea compartida donde nos reforzamos mutuamente porque sabemos que ello se traduce en una mejora de los resultados. Estamos en un momento de continuos cambios en la normativa y debemos dar un paso al frente para luchar por una escuela pública de calidad.</w:t>
      </w:r>
    </w:p>
    <w:p>
      <w:pPr>
        <w:jc w:val="both"/>
      </w:pPr>
      <w:r>
        <w:t xml:space="preserve"> La Resolución de 12 de septiembre de 2022 regula el calendario para el desarrollo de dichas elecciones que resumimos a continuación. Esta información junto a la normativa que marca el procedimiento se encuentra en la página web del centro. Los censos electorales se podrán consultar a partir de hoy en los tablones de anuncios del instituto.</w:t>
      </w:r>
    </w:p>
    <w:p>
      <w:pPr>
        <w:ind w:firstLine="708"/>
        <w:jc w:val="both"/>
      </w:pPr>
      <w:r>
        <w:t>Reciban un cordial saludo</w:t>
      </w:r>
      <w:r>
        <w:tab/>
        <w:t xml:space="preserve">Rafael C. Molina Valiente </w:t>
      </w:r>
      <w:proofErr w:type="gramStart"/>
      <w:r>
        <w:t xml:space="preserve">   (</w:t>
      </w:r>
      <w:proofErr w:type="gramEnd"/>
      <w:r>
        <w:t>Director IES Séneca)</w:t>
      </w:r>
    </w:p>
    <w:tbl>
      <w:tblPr>
        <w:tblStyle w:val="Tablaconcuadrcula"/>
        <w:tblW w:w="0" w:type="auto"/>
        <w:tblLook w:val="04A0" w:firstRow="1" w:lastRow="0" w:firstColumn="1" w:lastColumn="0" w:noHBand="0" w:noVBand="1"/>
      </w:tblPr>
      <w:tblGrid>
        <w:gridCol w:w="2347"/>
        <w:gridCol w:w="6147"/>
      </w:tblGrid>
      <w:tr>
        <w:tc>
          <w:tcPr>
            <w:tcW w:w="2347" w:type="dxa"/>
            <w:shd w:val="clear" w:color="auto" w:fill="F2F2F2" w:themeFill="background1" w:themeFillShade="F2"/>
          </w:tcPr>
          <w:p>
            <w:pPr>
              <w:jc w:val="center"/>
            </w:pPr>
            <w:r>
              <w:t>FECHAS</w:t>
            </w:r>
          </w:p>
        </w:tc>
        <w:tc>
          <w:tcPr>
            <w:tcW w:w="6147" w:type="dxa"/>
            <w:shd w:val="clear" w:color="auto" w:fill="F2F2F2" w:themeFill="background1" w:themeFillShade="F2"/>
          </w:tcPr>
          <w:p>
            <w:pPr>
              <w:jc w:val="center"/>
            </w:pPr>
            <w:r>
              <w:t>ACTUACIONES</w:t>
            </w:r>
          </w:p>
        </w:tc>
      </w:tr>
      <w:tr>
        <w:trPr>
          <w:trHeight w:val="397"/>
        </w:trPr>
        <w:tc>
          <w:tcPr>
            <w:tcW w:w="2347" w:type="dxa"/>
          </w:tcPr>
          <w:p>
            <w:pPr>
              <w:rPr>
                <w:sz w:val="20"/>
                <w:szCs w:val="20"/>
              </w:rPr>
            </w:pPr>
            <w:r>
              <w:rPr>
                <w:sz w:val="20"/>
                <w:szCs w:val="20"/>
              </w:rPr>
              <w:t>26 de septiembre</w:t>
            </w:r>
          </w:p>
        </w:tc>
        <w:tc>
          <w:tcPr>
            <w:tcW w:w="6147" w:type="dxa"/>
          </w:tcPr>
          <w:p>
            <w:pPr>
              <w:rPr>
                <w:sz w:val="20"/>
                <w:szCs w:val="20"/>
              </w:rPr>
            </w:pPr>
            <w:r>
              <w:rPr>
                <w:sz w:val="20"/>
                <w:szCs w:val="20"/>
              </w:rPr>
              <w:t>Comunicación a la Comunidad educativa del proceso de elecciones que comienza con el sorteo público para formar la Junta Electoral.</w:t>
            </w:r>
          </w:p>
        </w:tc>
      </w:tr>
      <w:tr>
        <w:trPr>
          <w:trHeight w:val="397"/>
        </w:trPr>
        <w:tc>
          <w:tcPr>
            <w:tcW w:w="2347" w:type="dxa"/>
          </w:tcPr>
          <w:p>
            <w:pPr>
              <w:rPr>
                <w:sz w:val="20"/>
                <w:szCs w:val="20"/>
              </w:rPr>
            </w:pPr>
            <w:r>
              <w:rPr>
                <w:sz w:val="20"/>
                <w:szCs w:val="20"/>
              </w:rPr>
              <w:t>3 de octubre</w:t>
            </w:r>
          </w:p>
        </w:tc>
        <w:tc>
          <w:tcPr>
            <w:tcW w:w="6147" w:type="dxa"/>
          </w:tcPr>
          <w:p>
            <w:pPr>
              <w:rPr>
                <w:sz w:val="20"/>
                <w:szCs w:val="20"/>
              </w:rPr>
            </w:pPr>
            <w:r>
              <w:rPr>
                <w:sz w:val="20"/>
                <w:szCs w:val="20"/>
              </w:rPr>
              <w:t>Sorteo público de los componentes de la Junta Electoral (Salón de actos).</w:t>
            </w:r>
          </w:p>
        </w:tc>
      </w:tr>
      <w:tr>
        <w:trPr>
          <w:trHeight w:val="397"/>
        </w:trPr>
        <w:tc>
          <w:tcPr>
            <w:tcW w:w="2347" w:type="dxa"/>
          </w:tcPr>
          <w:p>
            <w:pPr>
              <w:rPr>
                <w:sz w:val="20"/>
                <w:szCs w:val="20"/>
              </w:rPr>
            </w:pPr>
            <w:r>
              <w:rPr>
                <w:sz w:val="20"/>
                <w:szCs w:val="20"/>
              </w:rPr>
              <w:t>7 de octubre</w:t>
            </w:r>
          </w:p>
        </w:tc>
        <w:tc>
          <w:tcPr>
            <w:tcW w:w="6147" w:type="dxa"/>
          </w:tcPr>
          <w:p>
            <w:pPr>
              <w:rPr>
                <w:sz w:val="20"/>
                <w:szCs w:val="20"/>
              </w:rPr>
            </w:pPr>
            <w:r>
              <w:rPr>
                <w:sz w:val="20"/>
                <w:szCs w:val="20"/>
              </w:rPr>
              <w:t>Constitución de la Junta Electoral. Publicación de los censos electorales</w:t>
            </w:r>
          </w:p>
        </w:tc>
      </w:tr>
      <w:tr>
        <w:trPr>
          <w:trHeight w:val="397"/>
        </w:trPr>
        <w:tc>
          <w:tcPr>
            <w:tcW w:w="2347" w:type="dxa"/>
          </w:tcPr>
          <w:p>
            <w:pPr>
              <w:rPr>
                <w:sz w:val="20"/>
                <w:szCs w:val="20"/>
              </w:rPr>
            </w:pPr>
            <w:r>
              <w:rPr>
                <w:sz w:val="20"/>
                <w:szCs w:val="20"/>
              </w:rPr>
              <w:t>10 al 13 de octubre</w:t>
            </w:r>
          </w:p>
        </w:tc>
        <w:tc>
          <w:tcPr>
            <w:tcW w:w="6147" w:type="dxa"/>
          </w:tcPr>
          <w:p>
            <w:pPr>
              <w:rPr>
                <w:sz w:val="20"/>
                <w:szCs w:val="20"/>
              </w:rPr>
            </w:pPr>
            <w:r>
              <w:rPr>
                <w:sz w:val="20"/>
                <w:szCs w:val="20"/>
              </w:rPr>
              <w:t>Reclamación de los censos</w:t>
            </w:r>
          </w:p>
        </w:tc>
      </w:tr>
      <w:tr>
        <w:trPr>
          <w:trHeight w:val="397"/>
        </w:trPr>
        <w:tc>
          <w:tcPr>
            <w:tcW w:w="2347" w:type="dxa"/>
          </w:tcPr>
          <w:p>
            <w:pPr>
              <w:rPr>
                <w:sz w:val="20"/>
                <w:szCs w:val="20"/>
              </w:rPr>
            </w:pPr>
            <w:r>
              <w:rPr>
                <w:sz w:val="20"/>
                <w:szCs w:val="20"/>
              </w:rPr>
              <w:t>14 de octubre</w:t>
            </w:r>
          </w:p>
        </w:tc>
        <w:tc>
          <w:tcPr>
            <w:tcW w:w="6147" w:type="dxa"/>
          </w:tcPr>
          <w:p>
            <w:pPr>
              <w:rPr>
                <w:sz w:val="20"/>
                <w:szCs w:val="20"/>
              </w:rPr>
            </w:pPr>
            <w:r>
              <w:rPr>
                <w:sz w:val="20"/>
                <w:szCs w:val="20"/>
              </w:rPr>
              <w:t>Publicación definitiva de los sensos</w:t>
            </w:r>
          </w:p>
        </w:tc>
      </w:tr>
      <w:tr>
        <w:trPr>
          <w:trHeight w:val="397"/>
        </w:trPr>
        <w:tc>
          <w:tcPr>
            <w:tcW w:w="2347" w:type="dxa"/>
          </w:tcPr>
          <w:p>
            <w:pPr>
              <w:rPr>
                <w:sz w:val="20"/>
                <w:szCs w:val="20"/>
              </w:rPr>
            </w:pPr>
            <w:r>
              <w:rPr>
                <w:sz w:val="20"/>
                <w:szCs w:val="20"/>
              </w:rPr>
              <w:t>20 octubre a 3 de noviembre</w:t>
            </w:r>
          </w:p>
        </w:tc>
        <w:tc>
          <w:tcPr>
            <w:tcW w:w="6147" w:type="dxa"/>
          </w:tcPr>
          <w:p>
            <w:pPr>
              <w:rPr>
                <w:sz w:val="20"/>
                <w:szCs w:val="20"/>
              </w:rPr>
            </w:pPr>
            <w:r>
              <w:rPr>
                <w:sz w:val="20"/>
                <w:szCs w:val="20"/>
              </w:rPr>
              <w:t>Plazo de admisión de candidaturas</w:t>
            </w:r>
          </w:p>
        </w:tc>
      </w:tr>
      <w:tr>
        <w:trPr>
          <w:trHeight w:val="397"/>
        </w:trPr>
        <w:tc>
          <w:tcPr>
            <w:tcW w:w="2347" w:type="dxa"/>
          </w:tcPr>
          <w:p>
            <w:pPr>
              <w:rPr>
                <w:sz w:val="20"/>
                <w:szCs w:val="20"/>
              </w:rPr>
            </w:pPr>
            <w:r>
              <w:rPr>
                <w:sz w:val="20"/>
                <w:szCs w:val="20"/>
              </w:rPr>
              <w:t>4 de noviembre</w:t>
            </w:r>
          </w:p>
        </w:tc>
        <w:tc>
          <w:tcPr>
            <w:tcW w:w="6147" w:type="dxa"/>
          </w:tcPr>
          <w:p>
            <w:pPr>
              <w:rPr>
                <w:sz w:val="20"/>
                <w:szCs w:val="20"/>
              </w:rPr>
            </w:pPr>
            <w:r>
              <w:rPr>
                <w:sz w:val="20"/>
                <w:szCs w:val="20"/>
              </w:rPr>
              <w:t>Publicación del listado provisional de candidaturas</w:t>
            </w:r>
          </w:p>
        </w:tc>
      </w:tr>
      <w:tr>
        <w:trPr>
          <w:trHeight w:val="397"/>
        </w:trPr>
        <w:tc>
          <w:tcPr>
            <w:tcW w:w="2347" w:type="dxa"/>
          </w:tcPr>
          <w:p>
            <w:pPr>
              <w:rPr>
                <w:sz w:val="20"/>
                <w:szCs w:val="20"/>
              </w:rPr>
            </w:pPr>
            <w:r>
              <w:rPr>
                <w:sz w:val="20"/>
                <w:szCs w:val="20"/>
              </w:rPr>
              <w:t>5 al 8 noviembre</w:t>
            </w:r>
          </w:p>
        </w:tc>
        <w:tc>
          <w:tcPr>
            <w:tcW w:w="6147" w:type="dxa"/>
          </w:tcPr>
          <w:p>
            <w:pPr>
              <w:rPr>
                <w:sz w:val="20"/>
                <w:szCs w:val="20"/>
              </w:rPr>
            </w:pPr>
            <w:r>
              <w:rPr>
                <w:sz w:val="20"/>
                <w:szCs w:val="20"/>
              </w:rPr>
              <w:t>Reclamación al listado de candidaturas</w:t>
            </w:r>
          </w:p>
        </w:tc>
      </w:tr>
      <w:tr>
        <w:trPr>
          <w:trHeight w:val="397"/>
        </w:trPr>
        <w:tc>
          <w:tcPr>
            <w:tcW w:w="2347" w:type="dxa"/>
          </w:tcPr>
          <w:p>
            <w:pPr>
              <w:rPr>
                <w:sz w:val="20"/>
                <w:szCs w:val="20"/>
              </w:rPr>
            </w:pPr>
            <w:r>
              <w:rPr>
                <w:sz w:val="20"/>
                <w:szCs w:val="20"/>
              </w:rPr>
              <w:t>9 de noviembre</w:t>
            </w:r>
          </w:p>
        </w:tc>
        <w:tc>
          <w:tcPr>
            <w:tcW w:w="6147" w:type="dxa"/>
          </w:tcPr>
          <w:p>
            <w:pPr>
              <w:rPr>
                <w:sz w:val="20"/>
                <w:szCs w:val="20"/>
              </w:rPr>
            </w:pPr>
            <w:r>
              <w:rPr>
                <w:sz w:val="20"/>
                <w:szCs w:val="20"/>
              </w:rPr>
              <w:t>Publicación definitiva de las candidaturas</w:t>
            </w:r>
          </w:p>
        </w:tc>
      </w:tr>
      <w:tr>
        <w:trPr>
          <w:trHeight w:val="397"/>
        </w:trPr>
        <w:tc>
          <w:tcPr>
            <w:tcW w:w="2347" w:type="dxa"/>
          </w:tcPr>
          <w:p>
            <w:pPr>
              <w:rPr>
                <w:sz w:val="20"/>
                <w:szCs w:val="20"/>
              </w:rPr>
            </w:pPr>
            <w:r>
              <w:rPr>
                <w:sz w:val="20"/>
                <w:szCs w:val="20"/>
              </w:rPr>
              <w:t>10 noviembre al 18 de nov.</w:t>
            </w:r>
          </w:p>
        </w:tc>
        <w:tc>
          <w:tcPr>
            <w:tcW w:w="6147" w:type="dxa"/>
          </w:tcPr>
          <w:p>
            <w:pPr>
              <w:rPr>
                <w:sz w:val="20"/>
                <w:szCs w:val="20"/>
              </w:rPr>
            </w:pPr>
            <w:r>
              <w:rPr>
                <w:sz w:val="20"/>
                <w:szCs w:val="20"/>
              </w:rPr>
              <w:t>Campaña   electoral</w:t>
            </w:r>
          </w:p>
        </w:tc>
      </w:tr>
      <w:tr>
        <w:trPr>
          <w:trHeight w:val="397"/>
        </w:trPr>
        <w:tc>
          <w:tcPr>
            <w:tcW w:w="2347" w:type="dxa"/>
          </w:tcPr>
          <w:p>
            <w:pPr>
              <w:rPr>
                <w:sz w:val="20"/>
                <w:szCs w:val="20"/>
              </w:rPr>
            </w:pPr>
            <w:r>
              <w:rPr>
                <w:sz w:val="20"/>
                <w:szCs w:val="20"/>
              </w:rPr>
              <w:t>22 noviembre</w:t>
            </w:r>
          </w:p>
        </w:tc>
        <w:tc>
          <w:tcPr>
            <w:tcW w:w="6147" w:type="dxa"/>
          </w:tcPr>
          <w:p>
            <w:pPr>
              <w:rPr>
                <w:sz w:val="20"/>
                <w:szCs w:val="20"/>
              </w:rPr>
            </w:pPr>
            <w:r>
              <w:rPr>
                <w:sz w:val="20"/>
                <w:szCs w:val="20"/>
              </w:rPr>
              <w:t>Votación de padres, madres y tutore</w:t>
            </w:r>
            <w:bookmarkStart w:id="0" w:name="_GoBack"/>
            <w:bookmarkEnd w:id="0"/>
            <w:r>
              <w:rPr>
                <w:sz w:val="20"/>
                <w:szCs w:val="20"/>
              </w:rPr>
              <w:t>s</w:t>
            </w:r>
          </w:p>
        </w:tc>
      </w:tr>
      <w:tr>
        <w:trPr>
          <w:trHeight w:val="397"/>
        </w:trPr>
        <w:tc>
          <w:tcPr>
            <w:tcW w:w="2347" w:type="dxa"/>
          </w:tcPr>
          <w:p>
            <w:pPr>
              <w:rPr>
                <w:sz w:val="20"/>
                <w:szCs w:val="20"/>
              </w:rPr>
            </w:pPr>
            <w:r>
              <w:rPr>
                <w:sz w:val="20"/>
                <w:szCs w:val="20"/>
              </w:rPr>
              <w:t>23 noviembre</w:t>
            </w:r>
          </w:p>
        </w:tc>
        <w:tc>
          <w:tcPr>
            <w:tcW w:w="6147" w:type="dxa"/>
          </w:tcPr>
          <w:p>
            <w:pPr>
              <w:rPr>
                <w:sz w:val="20"/>
                <w:szCs w:val="20"/>
              </w:rPr>
            </w:pPr>
            <w:r>
              <w:rPr>
                <w:sz w:val="20"/>
                <w:szCs w:val="20"/>
              </w:rPr>
              <w:t>Votación de alumnos/as</w:t>
            </w:r>
          </w:p>
        </w:tc>
      </w:tr>
      <w:tr>
        <w:trPr>
          <w:trHeight w:val="397"/>
        </w:trPr>
        <w:tc>
          <w:tcPr>
            <w:tcW w:w="2347" w:type="dxa"/>
          </w:tcPr>
          <w:p>
            <w:pPr>
              <w:rPr>
                <w:sz w:val="20"/>
                <w:szCs w:val="20"/>
              </w:rPr>
            </w:pPr>
            <w:r>
              <w:rPr>
                <w:sz w:val="20"/>
                <w:szCs w:val="20"/>
              </w:rPr>
              <w:t>24 noviembre</w:t>
            </w:r>
          </w:p>
        </w:tc>
        <w:tc>
          <w:tcPr>
            <w:tcW w:w="6147" w:type="dxa"/>
          </w:tcPr>
          <w:p>
            <w:pPr>
              <w:rPr>
                <w:sz w:val="20"/>
                <w:szCs w:val="20"/>
              </w:rPr>
            </w:pPr>
            <w:r>
              <w:rPr>
                <w:sz w:val="20"/>
                <w:szCs w:val="20"/>
              </w:rPr>
              <w:t>Votación de profesores y PAS</w:t>
            </w:r>
          </w:p>
        </w:tc>
      </w:tr>
      <w:tr>
        <w:trPr>
          <w:trHeight w:val="397"/>
        </w:trPr>
        <w:tc>
          <w:tcPr>
            <w:tcW w:w="2347" w:type="dxa"/>
          </w:tcPr>
          <w:p>
            <w:pPr>
              <w:rPr>
                <w:sz w:val="20"/>
                <w:szCs w:val="20"/>
              </w:rPr>
            </w:pPr>
            <w:r>
              <w:rPr>
                <w:sz w:val="20"/>
                <w:szCs w:val="20"/>
              </w:rPr>
              <w:t>Antes 9 diciembre</w:t>
            </w:r>
          </w:p>
        </w:tc>
        <w:tc>
          <w:tcPr>
            <w:tcW w:w="6147" w:type="dxa"/>
          </w:tcPr>
          <w:p>
            <w:pPr>
              <w:rPr>
                <w:sz w:val="20"/>
                <w:szCs w:val="20"/>
              </w:rPr>
            </w:pPr>
            <w:r>
              <w:rPr>
                <w:sz w:val="20"/>
                <w:szCs w:val="20"/>
              </w:rPr>
              <w:t>Proclamación de los candidatos electos</w:t>
            </w:r>
          </w:p>
        </w:tc>
      </w:tr>
      <w:tr>
        <w:trPr>
          <w:trHeight w:val="397"/>
        </w:trPr>
        <w:tc>
          <w:tcPr>
            <w:tcW w:w="2347" w:type="dxa"/>
          </w:tcPr>
          <w:p>
            <w:pPr>
              <w:rPr>
                <w:sz w:val="20"/>
                <w:szCs w:val="20"/>
              </w:rPr>
            </w:pPr>
            <w:r>
              <w:rPr>
                <w:sz w:val="20"/>
                <w:szCs w:val="20"/>
              </w:rPr>
              <w:t>Antes 22 diciembre</w:t>
            </w:r>
          </w:p>
        </w:tc>
        <w:tc>
          <w:tcPr>
            <w:tcW w:w="6147" w:type="dxa"/>
          </w:tcPr>
          <w:p>
            <w:pPr>
              <w:rPr>
                <w:sz w:val="20"/>
                <w:szCs w:val="20"/>
              </w:rPr>
            </w:pPr>
            <w:r>
              <w:rPr>
                <w:sz w:val="20"/>
                <w:szCs w:val="20"/>
              </w:rPr>
              <w:t>Constitución del nuevo Consejo Escolar</w:t>
            </w:r>
          </w:p>
        </w:tc>
      </w:tr>
    </w:tbl>
    <w:p/>
    <w:sectPr>
      <w:pgSz w:w="11906" w:h="16838"/>
      <w:pgMar w:top="851"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E55B8-C842-4770-A58E-DDC156CE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google.es/imgres?imgurl=http://1.bp.blogspot.com/-M3Gjx8sEfX0/T5d8GK6D-eI/AAAAAAAAACA/SLH_BVNQ5ro/s220/escudo_seneca.png&amp;imgrefurl=http://rutasseneca.blogspot.com/&amp;usg=__4w3btPz08KgiLwemLOCSjXDJ5WY=&amp;h=220&amp;w=177&amp;sz=77&amp;hl=es&amp;start=10&amp;sig2=acqFJ0GVPs-GbMuRL5dGzQ&amp;zoom=1&amp;tbnid=nYb51RJiRO0z3M:&amp;tbnh=107&amp;tbnw=86&amp;ei=Zlf5UfzsEsyjhgfFxICYCw&amp;prev=/search?q=ies+seneca+logo&amp;um=1&amp;sa=N&amp;rls=com.microsoft:*:IE-SearchBox&amp;rlz=1I7GGIE_es&amp;hl=es&amp;tbm=isch&amp;um=1&amp;itbs=1&amp;sa=X&amp;ved=0CD4QrQMwC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2020-09-29T11:54:00Z</cp:lastPrinted>
  <dcterms:created xsi:type="dcterms:W3CDTF">2022-09-26T08:41:00Z</dcterms:created>
  <dcterms:modified xsi:type="dcterms:W3CDTF">2022-09-26T08:41:00Z</dcterms:modified>
</cp:coreProperties>
</file>