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5463" w:rsidRDefault="00115463" w:rsidP="00115463">
      <w:pPr>
        <w:autoSpaceDE w:val="0"/>
        <w:autoSpaceDN w:val="0"/>
        <w:adjustRightInd w:val="0"/>
        <w:spacing w:after="0" w:line="240" w:lineRule="auto"/>
        <w:rPr>
          <w:rFonts w:ascii="HelveticaLTStd-Bold" w:hAnsi="HelveticaLTStd-Bold" w:cs="HelveticaLTStd-Bold"/>
          <w:b/>
          <w:bCs/>
          <w:color w:val="005BAB"/>
          <w:sz w:val="50"/>
          <w:szCs w:val="50"/>
        </w:rPr>
      </w:pPr>
      <w:r>
        <w:rPr>
          <w:rFonts w:ascii="HelveticaLTStd-Bold" w:hAnsi="HelveticaLTStd-Bold" w:cs="HelveticaLTStd-Bold"/>
          <w:b/>
          <w:bCs/>
          <w:color w:val="005BAB"/>
          <w:sz w:val="50"/>
          <w:szCs w:val="50"/>
        </w:rPr>
        <w:t>El arte renacentista</w:t>
      </w:r>
      <w:r>
        <w:rPr>
          <w:rFonts w:ascii="HelveticaLTStd-Bold" w:hAnsi="HelveticaLTStd-Bold" w:cs="HelveticaLTStd-Bold"/>
          <w:b/>
          <w:bCs/>
          <w:color w:val="005BAB"/>
          <w:sz w:val="50"/>
          <w:szCs w:val="50"/>
        </w:rPr>
        <w:t xml:space="preserve"> </w:t>
      </w:r>
      <w:r>
        <w:rPr>
          <w:rFonts w:ascii="HelveticaLTStd-Bold" w:hAnsi="HelveticaLTStd-Bold" w:cs="HelveticaLTStd-Bold"/>
          <w:b/>
          <w:bCs/>
          <w:color w:val="005BAB"/>
          <w:sz w:val="50"/>
          <w:szCs w:val="50"/>
        </w:rPr>
        <w:t>en España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noProof/>
          <w:color w:val="00000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3891915</wp:posOffset>
            </wp:positionH>
            <wp:positionV relativeFrom="paragraph">
              <wp:posOffset>78105</wp:posOffset>
            </wp:positionV>
            <wp:extent cx="2076450" cy="1800225"/>
            <wp:effectExtent l="0" t="0" r="0" b="952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15463">
        <w:rPr>
          <w:rFonts w:ascii="MinionPro-Regular" w:hAnsi="MinionPro-Regular" w:cs="MinionPro-Regular"/>
          <w:color w:val="000000"/>
        </w:rPr>
        <w:t xml:space="preserve">En el siglo </w:t>
      </w:r>
      <w:proofErr w:type="spellStart"/>
      <w:r w:rsidRPr="00115463">
        <w:rPr>
          <w:rFonts w:ascii="MinionPro-Regular" w:hAnsi="MinionPro-Regular" w:cs="MinionPro-Regular"/>
          <w:smallCaps/>
          <w:color w:val="000000"/>
        </w:rPr>
        <w:t>xvi</w:t>
      </w:r>
      <w:proofErr w:type="spellEnd"/>
      <w:r w:rsidRPr="00115463">
        <w:rPr>
          <w:rFonts w:ascii="MinionPro-Regular" w:hAnsi="MinionPro-Regular" w:cs="MinionPro-Regular"/>
          <w:color w:val="000000"/>
        </w:rPr>
        <w:t xml:space="preserve"> comenzó la etapa más </w:t>
      </w:r>
      <w:r w:rsidRPr="00115463">
        <w:rPr>
          <w:rFonts w:ascii="MinionPro-Regular" w:hAnsi="MinionPro-Regular" w:cs="MinionPro-Regular"/>
          <w:color w:val="000000"/>
        </w:rPr>
        <w:t>floreciente</w:t>
      </w:r>
      <w:r w:rsidRPr="00115463">
        <w:rPr>
          <w:rFonts w:ascii="MinionPro-Regular" w:hAnsi="MinionPro-Regular" w:cs="MinionPro-Regular"/>
          <w:color w:val="000000"/>
        </w:rPr>
        <w:t xml:space="preserve"> de la cultura española,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el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Siglo de Oro, </w:t>
      </w:r>
      <w:r w:rsidRPr="00115463">
        <w:rPr>
          <w:rFonts w:ascii="MinionPro-Regular" w:hAnsi="MinionPro-Regular" w:cs="MinionPro-Regular"/>
          <w:color w:val="000000"/>
        </w:rPr>
        <w:t xml:space="preserve">que se prolongó también durante el siglo </w:t>
      </w:r>
      <w:proofErr w:type="spellStart"/>
      <w:r w:rsidRPr="00115463">
        <w:rPr>
          <w:rFonts w:ascii="MinionPro-Regular" w:hAnsi="MinionPro-Regular" w:cs="MinionPro-Regular"/>
          <w:smallCaps/>
          <w:color w:val="000000"/>
        </w:rPr>
        <w:t>xvii</w:t>
      </w:r>
      <w:proofErr w:type="spellEnd"/>
      <w:r w:rsidRPr="00115463">
        <w:rPr>
          <w:rFonts w:ascii="MinionPro-Regular" w:hAnsi="MinionPro-Regular" w:cs="MinionPro-Regular"/>
          <w:color w:val="000000"/>
        </w:rPr>
        <w:t>.</w:t>
      </w:r>
    </w:p>
    <w:p w:rsid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</w:pPr>
      <w:r>
        <w:rPr>
          <w:rFonts w:ascii="HelveticaLTStd-Blk" w:hAnsi="HelveticaLTStd-Blk" w:cs="HelveticaLTStd-Blk"/>
          <w:color w:val="FFFFFF"/>
          <w:sz w:val="26"/>
          <w:szCs w:val="26"/>
        </w:rPr>
        <w:t xml:space="preserve">4.1 </w:t>
      </w:r>
      <w:r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  <w:t>La evolución de la arquitectura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color w:val="000000"/>
        </w:rPr>
        <w:t xml:space="preserve">La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arquitectura </w:t>
      </w:r>
      <w:r w:rsidRPr="00115463">
        <w:rPr>
          <w:rFonts w:ascii="MinionPro-Regular" w:hAnsi="MinionPro-Regular" w:cs="MinionPro-Regular"/>
          <w:color w:val="000000"/>
        </w:rPr>
        <w:t>renacentista española se inspiró en modelos italianos.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En su evolución se distinguen tres períodos o estilos: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noProof/>
          <w:color w:val="00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3882390</wp:posOffset>
            </wp:positionH>
            <wp:positionV relativeFrom="paragraph">
              <wp:posOffset>861695</wp:posOffset>
            </wp:positionV>
            <wp:extent cx="2085975" cy="1762125"/>
            <wp:effectExtent l="0" t="0" r="9525" b="9525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15463">
        <w:rPr>
          <w:rFonts w:ascii="HelveticaLTStd-Bold" w:hAnsi="HelveticaLTStd-Bold" w:cs="HelveticaLTStd-Bold"/>
          <w:b/>
          <w:bCs/>
          <w:color w:val="EE1D24"/>
        </w:rPr>
        <w:t xml:space="preserve">• </w:t>
      </w:r>
      <w:r w:rsidRPr="00115463">
        <w:rPr>
          <w:rFonts w:ascii="MinionPro-Regular" w:hAnsi="MinionPro-Regular" w:cs="MinionPro-Regular"/>
          <w:color w:val="000000"/>
        </w:rPr>
        <w:t xml:space="preserve">El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plateresco </w:t>
      </w:r>
      <w:r w:rsidRPr="00115463">
        <w:rPr>
          <w:rFonts w:ascii="MinionPro-Regular" w:hAnsi="MinionPro-Regular" w:cs="MinionPro-Regular"/>
          <w:color w:val="000000"/>
        </w:rPr>
        <w:t>(1500-1530) mantuvo las formas góticas en el interior,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pero recubrió las fachadas con decoración renacentista. Esta incluía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medallones, escudos y grutescos, realizados con una minuciosidad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semejante al trabajo de un platero, de donde procede el nombre del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estilo. Ejemplos notables son las fachadas de la universidad de Salamanca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y del convento de San Marcos de León.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HelveticaLTStd-Bold" w:hAnsi="HelveticaLTStd-Bold" w:cs="HelveticaLTStd-Bold"/>
          <w:b/>
          <w:bCs/>
          <w:color w:val="EE1D24"/>
        </w:rPr>
        <w:t xml:space="preserve">• </w:t>
      </w:r>
      <w:r w:rsidRPr="00115463">
        <w:rPr>
          <w:rFonts w:ascii="MinionPro-Regular" w:hAnsi="MinionPro-Regular" w:cs="MinionPro-Regular"/>
          <w:color w:val="000000"/>
        </w:rPr>
        <w:t xml:space="preserve">El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purismo </w:t>
      </w:r>
      <w:r w:rsidRPr="00115463">
        <w:rPr>
          <w:rFonts w:ascii="MinionPro-Regular" w:hAnsi="MinionPro-Regular" w:cs="MinionPro-Regular"/>
          <w:color w:val="000000"/>
        </w:rPr>
        <w:t>(1530-1560) adoptó los elementos constructivos renacentistas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y </w:t>
      </w:r>
      <w:r w:rsidRPr="00115463">
        <w:rPr>
          <w:rFonts w:ascii="MinionPro-Regular" w:hAnsi="MinionPro-Regular" w:cs="MinionPro-Regular"/>
          <w:color w:val="000000"/>
        </w:rPr>
        <w:t>simplificó</w:t>
      </w:r>
      <w:r w:rsidRPr="00115463">
        <w:rPr>
          <w:rFonts w:ascii="MinionPro-Regular" w:hAnsi="MinionPro-Regular" w:cs="MinionPro-Regular"/>
          <w:color w:val="000000"/>
        </w:rPr>
        <w:t xml:space="preserve"> y aumentó el tamaño de la decoración. Los principales</w:t>
      </w:r>
      <w:r w:rsidRPr="00115463">
        <w:rPr>
          <w:rFonts w:ascii="MinionPro-Regular" w:hAnsi="MinionPro-Regular" w:cs="MinionPro-Regular"/>
          <w:color w:val="000000"/>
        </w:rPr>
        <w:t xml:space="preserve"> edificios</w:t>
      </w:r>
      <w:r w:rsidRPr="00115463">
        <w:rPr>
          <w:rFonts w:ascii="MinionPro-Regular" w:hAnsi="MinionPro-Regular" w:cs="MinionPro-Regular"/>
          <w:color w:val="000000"/>
        </w:rPr>
        <w:t xml:space="preserve"> son el palacio de Carlos I, en Granada, y la fachada de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la universidad de Alcalá de Henares.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noProof/>
          <w:color w:val="000000"/>
        </w:rPr>
        <w:drawing>
          <wp:anchor distT="0" distB="0" distL="114300" distR="114300" simplePos="0" relativeHeight="251660288" behindDoc="0" locked="0" layoutInCell="1" allowOverlap="1" wp14:anchorId="4D5496BC">
            <wp:simplePos x="0" y="0"/>
            <wp:positionH relativeFrom="column">
              <wp:posOffset>3910965</wp:posOffset>
            </wp:positionH>
            <wp:positionV relativeFrom="paragraph">
              <wp:posOffset>687070</wp:posOffset>
            </wp:positionV>
            <wp:extent cx="2038350" cy="1666875"/>
            <wp:effectExtent l="0" t="0" r="0" b="9525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8350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15463">
        <w:rPr>
          <w:rFonts w:ascii="HelveticaLTStd-Bold" w:hAnsi="HelveticaLTStd-Bold" w:cs="HelveticaLTStd-Bold"/>
          <w:b/>
          <w:bCs/>
          <w:color w:val="EE1D24"/>
        </w:rPr>
        <w:t xml:space="preserve">• </w:t>
      </w:r>
      <w:r w:rsidRPr="00115463">
        <w:rPr>
          <w:rFonts w:ascii="MinionPro-Regular" w:hAnsi="MinionPro-Regular" w:cs="MinionPro-Regular"/>
          <w:color w:val="000000"/>
        </w:rPr>
        <w:t xml:space="preserve">El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herreriano </w:t>
      </w:r>
      <w:r w:rsidRPr="00115463">
        <w:rPr>
          <w:rFonts w:ascii="MinionPro-Regular" w:hAnsi="MinionPro-Regular" w:cs="MinionPro-Regular"/>
          <w:color w:val="000000"/>
        </w:rPr>
        <w:t>(1560-1600) toma el nombre de su arquitecto más famoso,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Juan de Herrera. Se caracterizó por las formas simples, las cubiertas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exteriores de pizarra y la desnudez decorativa. El </w:t>
      </w:r>
      <w:r w:rsidRPr="00115463">
        <w:rPr>
          <w:rFonts w:ascii="MinionPro-Regular" w:hAnsi="MinionPro-Regular" w:cs="MinionPro-Regular"/>
          <w:color w:val="000000"/>
        </w:rPr>
        <w:t>edificio</w:t>
      </w:r>
      <w:r w:rsidRPr="00115463">
        <w:rPr>
          <w:rFonts w:ascii="MinionPro-Regular" w:hAnsi="MinionPro-Regular" w:cs="MinionPro-Regular"/>
          <w:color w:val="000000"/>
        </w:rPr>
        <w:t xml:space="preserve"> más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importante fue el monasterio-palacio de El Escorial.</w:t>
      </w:r>
    </w:p>
    <w:p w:rsid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</w:pPr>
      <w:r>
        <w:rPr>
          <w:rFonts w:ascii="HelveticaLTStd-Blk" w:hAnsi="HelveticaLTStd-Blk" w:cs="HelveticaLTStd-Blk"/>
          <w:color w:val="FFFFFF"/>
          <w:sz w:val="26"/>
          <w:szCs w:val="26"/>
        </w:rPr>
        <w:t xml:space="preserve">4.2 </w:t>
      </w:r>
      <w:r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  <w:t>La escultura renacentista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color w:val="000000"/>
        </w:rPr>
        <w:t>La escultura renacentista española de la época presenta rasgos peculiares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en relación con la del resto de Europa, pues los escultores crearon un estilo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propio. Es una escultura realista, de temática principalmente religiosa,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y centrada en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tallas en madera policromada, </w:t>
      </w:r>
      <w:r w:rsidRPr="00115463">
        <w:rPr>
          <w:rFonts w:ascii="MinionPro-Regular" w:hAnsi="MinionPro-Regular" w:cs="MinionPro-Regular"/>
          <w:color w:val="000000"/>
        </w:rPr>
        <w:t>retablos, sillerías de coro y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sepulcros.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It" w:hAnsi="MinionPro-It" w:cs="MinionPro-It"/>
          <w:color w:val="000000"/>
        </w:rPr>
      </w:pPr>
      <w:r w:rsidRPr="00115463">
        <w:rPr>
          <w:rFonts w:ascii="MinionPro-Regular" w:hAnsi="MinionPro-Regular" w:cs="MinionPro-Regular"/>
          <w:color w:val="000000"/>
        </w:rPr>
        <w:t xml:space="preserve">Los escultores más destacados fueron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Alonso de Berruguete </w:t>
      </w:r>
      <w:r w:rsidRPr="00115463">
        <w:rPr>
          <w:rFonts w:ascii="MinionPro-It" w:hAnsi="MinionPro-It" w:cs="MinionPro-It"/>
          <w:color w:val="000000"/>
        </w:rPr>
        <w:t xml:space="preserve">(El </w:t>
      </w:r>
      <w:r w:rsidRPr="00115463">
        <w:rPr>
          <w:rFonts w:ascii="MinionPro-It" w:hAnsi="MinionPro-It" w:cs="MinionPro-It"/>
          <w:color w:val="000000"/>
        </w:rPr>
        <w:t xml:space="preserve">sacrificio </w:t>
      </w:r>
      <w:r w:rsidRPr="00115463">
        <w:rPr>
          <w:rFonts w:ascii="MinionPro-It" w:hAnsi="MinionPro-It" w:cs="MinionPro-It"/>
          <w:color w:val="000000"/>
        </w:rPr>
        <w:t xml:space="preserve">de Isaac </w:t>
      </w:r>
      <w:r w:rsidRPr="00115463">
        <w:rPr>
          <w:rFonts w:ascii="MinionPro-Regular" w:hAnsi="MinionPro-Regular" w:cs="MinionPro-Regular"/>
          <w:color w:val="000000"/>
        </w:rPr>
        <w:t xml:space="preserve">y la sillería de la catedral de Toledo), y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Juan de Juni </w:t>
      </w:r>
      <w:r w:rsidRPr="00115463">
        <w:rPr>
          <w:rFonts w:ascii="MinionPro-It" w:hAnsi="MinionPro-It" w:cs="MinionPro-It"/>
          <w:color w:val="000000"/>
        </w:rPr>
        <w:t>(El entierro</w:t>
      </w:r>
      <w:r w:rsidRPr="00115463">
        <w:rPr>
          <w:rFonts w:ascii="MinionPro-It" w:hAnsi="MinionPro-It" w:cs="MinionPro-It"/>
          <w:color w:val="000000"/>
        </w:rPr>
        <w:t xml:space="preserve"> </w:t>
      </w:r>
      <w:r w:rsidRPr="00115463">
        <w:rPr>
          <w:rFonts w:ascii="MinionPro-It" w:hAnsi="MinionPro-It" w:cs="MinionPro-It"/>
          <w:color w:val="000000"/>
        </w:rPr>
        <w:t xml:space="preserve">de Cristo </w:t>
      </w:r>
      <w:r w:rsidRPr="00115463">
        <w:rPr>
          <w:rFonts w:ascii="MinionPro-Regular" w:hAnsi="MinionPro-Regular" w:cs="MinionPro-Regular"/>
          <w:color w:val="000000"/>
        </w:rPr>
        <w:t xml:space="preserve">y la </w:t>
      </w:r>
      <w:r w:rsidRPr="00115463">
        <w:rPr>
          <w:rFonts w:ascii="MinionPro-It" w:hAnsi="MinionPro-It" w:cs="MinionPro-It"/>
          <w:color w:val="000000"/>
        </w:rPr>
        <w:t>Virgen de las Angustias).</w:t>
      </w:r>
    </w:p>
    <w:p w:rsid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</w:pPr>
      <w:r>
        <w:rPr>
          <w:rFonts w:ascii="HelveticaLTStd-Blk" w:hAnsi="HelveticaLTStd-Blk" w:cs="HelveticaLTStd-Blk"/>
          <w:color w:val="FFFFFF"/>
          <w:sz w:val="26"/>
          <w:szCs w:val="26"/>
        </w:rPr>
        <w:t xml:space="preserve">4.3 </w:t>
      </w:r>
      <w:r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  <w:t>La pintura renacentista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noProof/>
          <w:color w:val="000000"/>
        </w:rPr>
        <w:drawing>
          <wp:anchor distT="0" distB="0" distL="114300" distR="114300" simplePos="0" relativeHeight="251661312" behindDoc="0" locked="0" layoutInCell="1" allowOverlap="1" wp14:anchorId="0D1DE7ED">
            <wp:simplePos x="0" y="0"/>
            <wp:positionH relativeFrom="column">
              <wp:posOffset>3891915</wp:posOffset>
            </wp:positionH>
            <wp:positionV relativeFrom="paragraph">
              <wp:posOffset>71755</wp:posOffset>
            </wp:positionV>
            <wp:extent cx="2009775" cy="2228850"/>
            <wp:effectExtent l="0" t="0" r="9525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15463">
        <w:rPr>
          <w:rFonts w:ascii="MinionPro-Regular" w:hAnsi="MinionPro-Regular" w:cs="MinionPro-Regular"/>
          <w:color w:val="000000"/>
        </w:rPr>
        <w:t xml:space="preserve">La pintura renacentista española estuvo </w:t>
      </w:r>
      <w:r w:rsidRPr="00115463">
        <w:rPr>
          <w:rFonts w:ascii="MinionPro-Regular" w:hAnsi="MinionPro-Regular" w:cs="MinionPro-Regular"/>
          <w:color w:val="000000"/>
        </w:rPr>
        <w:t>incluida</w:t>
      </w:r>
      <w:r w:rsidRPr="00115463">
        <w:rPr>
          <w:rFonts w:ascii="MinionPro-Regular" w:hAnsi="MinionPro-Regular" w:cs="MinionPro-Regular"/>
          <w:color w:val="000000"/>
        </w:rPr>
        <w:t xml:space="preserve"> por los grandes maestros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italianos, y su temática fue principalmente religiosa. Los pintores más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destacados fueron </w:t>
      </w:r>
      <w:r w:rsidRPr="00115463">
        <w:rPr>
          <w:rFonts w:ascii="MinionPro-Bold" w:hAnsi="MinionPro-Bold" w:cs="MinionPro-Bold"/>
          <w:b/>
          <w:bCs/>
          <w:color w:val="000000"/>
        </w:rPr>
        <w:t>Pedro Berruguete, Luis de Morales, Juan de Juanes,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Vicente </w:t>
      </w:r>
      <w:proofErr w:type="spellStart"/>
      <w:r w:rsidRPr="00115463">
        <w:rPr>
          <w:rFonts w:ascii="MinionPro-Bold" w:hAnsi="MinionPro-Bold" w:cs="MinionPro-Bold"/>
          <w:b/>
          <w:bCs/>
          <w:color w:val="000000"/>
        </w:rPr>
        <w:t>Masip</w:t>
      </w:r>
      <w:proofErr w:type="spellEnd"/>
      <w:r w:rsidRPr="00115463">
        <w:rPr>
          <w:rFonts w:ascii="MinionPro-Bold" w:hAnsi="MinionPro-Bold" w:cs="MinionPro-Bold"/>
          <w:b/>
          <w:bCs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y, sobre todo, </w:t>
      </w:r>
      <w:r w:rsidRPr="00115463">
        <w:rPr>
          <w:rFonts w:ascii="MinionPro-Bold" w:hAnsi="MinionPro-Bold" w:cs="MinionPro-Bold"/>
          <w:b/>
          <w:bCs/>
          <w:color w:val="000000"/>
        </w:rPr>
        <w:t>El Greco.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color w:val="000000"/>
        </w:rPr>
        <w:t xml:space="preserve">La pintura de El Greco se caracterizó por las </w:t>
      </w:r>
      <w:r w:rsidRPr="00115463">
        <w:rPr>
          <w:rFonts w:ascii="MinionPro-Bold" w:hAnsi="MinionPro-Bold" w:cs="MinionPro-Bold"/>
          <w:b/>
          <w:bCs/>
          <w:color w:val="000000"/>
        </w:rPr>
        <w:t>figuras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de proporciones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 xml:space="preserve">alargadas, que suelen adoptar posturas complejas; las </w:t>
      </w:r>
      <w:r w:rsidRPr="00115463">
        <w:rPr>
          <w:rFonts w:ascii="MinionPro-Bold" w:hAnsi="MinionPro-Bold" w:cs="MinionPro-Bold"/>
          <w:b/>
          <w:bCs/>
          <w:color w:val="000000"/>
        </w:rPr>
        <w:t>composiciones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complicadas; las luces fuertes, brillantes e irreales; un colorido de tonos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  <w:r w:rsidRPr="00115463">
        <w:rPr>
          <w:rFonts w:ascii="MinionPro-Regular" w:hAnsi="MinionPro-Regular" w:cs="MinionPro-Regular"/>
          <w:color w:val="000000"/>
        </w:rPr>
        <w:t>fríos (azules, grises), y la temática religiosa y de retratos.</w:t>
      </w:r>
      <w:r w:rsidRPr="00115463">
        <w:rPr>
          <w:rFonts w:ascii="MinionPro-Regular" w:hAnsi="MinionPro-Regular" w:cs="MinionPro-Regular"/>
          <w:color w:val="000000"/>
        </w:rPr>
        <w:t xml:space="preserve"> 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Regular" w:hAnsi="MinionPro-Regular" w:cs="MinionPro-Regular"/>
          <w:color w:val="000000"/>
        </w:rPr>
        <w:t xml:space="preserve">Entre sus </w:t>
      </w:r>
      <w:r w:rsidRPr="00115463">
        <w:rPr>
          <w:rFonts w:ascii="MinionPro-Bold" w:hAnsi="MinionPro-Bold" w:cs="MinionPro-Bold"/>
          <w:b/>
          <w:bCs/>
          <w:color w:val="000000"/>
        </w:rPr>
        <w:t xml:space="preserve">obras </w:t>
      </w:r>
      <w:r w:rsidRPr="00115463">
        <w:rPr>
          <w:rFonts w:ascii="MinionPro-Regular" w:hAnsi="MinionPro-Regular" w:cs="MinionPro-Regular"/>
          <w:color w:val="000000"/>
        </w:rPr>
        <w:t xml:space="preserve">más conocidas se encuentran </w:t>
      </w:r>
      <w:r w:rsidRPr="00115463">
        <w:rPr>
          <w:rFonts w:ascii="MinionPro-It" w:hAnsi="MinionPro-It" w:cs="MinionPro-It"/>
          <w:color w:val="000000"/>
        </w:rPr>
        <w:t xml:space="preserve">El expolio </w:t>
      </w:r>
      <w:r w:rsidRPr="00115463">
        <w:rPr>
          <w:rFonts w:ascii="MinionPro-Regular" w:hAnsi="MinionPro-Regular" w:cs="MinionPro-Regular"/>
          <w:color w:val="000000"/>
        </w:rPr>
        <w:t xml:space="preserve">(1577), </w:t>
      </w:r>
      <w:r w:rsidRPr="00115463">
        <w:rPr>
          <w:rFonts w:ascii="MinionPro-It" w:hAnsi="MinionPro-It" w:cs="MinionPro-It"/>
          <w:color w:val="000000"/>
        </w:rPr>
        <w:t>El martirio</w:t>
      </w:r>
    </w:p>
    <w:p w:rsidR="00115463" w:rsidRPr="00115463" w:rsidRDefault="00115463" w:rsidP="00115463">
      <w:pPr>
        <w:autoSpaceDE w:val="0"/>
        <w:autoSpaceDN w:val="0"/>
        <w:adjustRightInd w:val="0"/>
        <w:spacing w:after="0" w:line="240" w:lineRule="auto"/>
        <w:jc w:val="both"/>
        <w:rPr>
          <w:rFonts w:ascii="MinionPro-Regular" w:hAnsi="MinionPro-Regular" w:cs="MinionPro-Regular"/>
          <w:color w:val="000000"/>
        </w:rPr>
      </w:pPr>
      <w:r w:rsidRPr="00115463">
        <w:rPr>
          <w:rFonts w:ascii="MinionPro-It" w:hAnsi="MinionPro-It" w:cs="MinionPro-It"/>
          <w:color w:val="000000"/>
        </w:rPr>
        <w:t xml:space="preserve">de San Mauricio </w:t>
      </w:r>
      <w:r w:rsidRPr="00115463">
        <w:rPr>
          <w:rFonts w:ascii="MinionPro-Regular" w:hAnsi="MinionPro-Regular" w:cs="MinionPro-Regular"/>
          <w:color w:val="000000"/>
        </w:rPr>
        <w:t xml:space="preserve">(1580), </w:t>
      </w:r>
      <w:r w:rsidRPr="00115463">
        <w:rPr>
          <w:rFonts w:ascii="MinionPro-It" w:hAnsi="MinionPro-It" w:cs="MinionPro-It"/>
          <w:color w:val="000000"/>
        </w:rPr>
        <w:t xml:space="preserve">El entierro del señor de Orgaz </w:t>
      </w:r>
      <w:r w:rsidRPr="00115463">
        <w:rPr>
          <w:rFonts w:ascii="MinionPro-Regular" w:hAnsi="MinionPro-Regular" w:cs="MinionPro-Regular"/>
          <w:color w:val="000000"/>
        </w:rPr>
        <w:t>(1588) y retratos</w:t>
      </w:r>
    </w:p>
    <w:p w:rsidR="00915DA8" w:rsidRPr="00115463" w:rsidRDefault="00115463" w:rsidP="00115463">
      <w:pPr>
        <w:jc w:val="both"/>
        <w:rPr>
          <w:sz w:val="20"/>
          <w:szCs w:val="20"/>
        </w:rPr>
      </w:pPr>
      <w:r w:rsidRPr="00115463">
        <w:rPr>
          <w:rFonts w:ascii="MinionPro-Regular" w:hAnsi="MinionPro-Regular" w:cs="MinionPro-Regular"/>
          <w:color w:val="000000"/>
        </w:rPr>
        <w:t xml:space="preserve">como </w:t>
      </w:r>
      <w:r w:rsidRPr="00115463">
        <w:rPr>
          <w:rFonts w:ascii="MinionPro-It" w:hAnsi="MinionPro-It" w:cs="MinionPro-It"/>
          <w:color w:val="000000"/>
        </w:rPr>
        <w:t xml:space="preserve">El caballero de la mano en el pecho </w:t>
      </w:r>
      <w:r w:rsidRPr="00115463">
        <w:rPr>
          <w:rFonts w:ascii="MinionPro-Regular" w:hAnsi="MinionPro-Regular" w:cs="MinionPro-Regular"/>
          <w:color w:val="000000"/>
        </w:rPr>
        <w:t>(1584).</w:t>
      </w:r>
    </w:p>
    <w:p w:rsidR="00115463" w:rsidRDefault="00115463" w:rsidP="00115463">
      <w:pPr>
        <w:jc w:val="both"/>
      </w:pPr>
    </w:p>
    <w:p w:rsidR="00115463" w:rsidRDefault="00115463" w:rsidP="00115463">
      <w:pPr>
        <w:jc w:val="both"/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</w:pPr>
      <w:r>
        <w:rPr>
          <w:rFonts w:ascii="HelveticaLTStd-Bold" w:hAnsi="HelveticaLTStd-Bold" w:cs="HelveticaLTStd-Bold"/>
          <w:b/>
          <w:bCs/>
          <w:color w:val="005BAB"/>
          <w:sz w:val="32"/>
          <w:szCs w:val="32"/>
        </w:rPr>
        <w:t>Tareas para progresar</w:t>
      </w:r>
    </w:p>
    <w:p w:rsidR="00725D34" w:rsidRDefault="00725D34" w:rsidP="00115463">
      <w:pPr>
        <w:jc w:val="both"/>
        <w:sectPr w:rsidR="00725D34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:rsidR="00115463" w:rsidRDefault="00115463" w:rsidP="00115463">
      <w:pPr>
        <w:jc w:val="both"/>
      </w:pP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</w:pPr>
      <w:r>
        <w:rPr>
          <w:rFonts w:ascii="ZapfDingbatsStd" w:eastAsia="ZapfDingbatsStd" w:cs="ZapfDingbatsStd" w:hint="eastAsia"/>
          <w:color w:val="EE1D24"/>
          <w:sz w:val="21"/>
          <w:szCs w:val="21"/>
        </w:rPr>
        <w:t>▼</w:t>
      </w:r>
      <w:r>
        <w:rPr>
          <w:rFonts w:ascii="ZapfDingbatsStd" w:eastAsia="ZapfDingbatsStd" w:cs="ZapfDingbatsStd"/>
          <w:color w:val="EE1D24"/>
          <w:sz w:val="21"/>
          <w:szCs w:val="21"/>
        </w:rPr>
        <w:t xml:space="preserve"> </w:t>
      </w:r>
      <w:r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  <w:t>Conocer manifestaciones artísticas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NeueLTStd-Blk" w:eastAsia="ZapfDingbatsStd" w:hAnsi="HelveticaNeueLTStd-Blk" w:cs="HelveticaNeueLTStd-Blk"/>
          <w:color w:val="0096DB"/>
          <w:sz w:val="24"/>
          <w:szCs w:val="24"/>
        </w:rPr>
        <w:t xml:space="preserve">22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¿Qué nombre reciben los tres estilos de la arquitectura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renacentista en España y cuál es su cronología?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NeueLTStd-Blk" w:eastAsia="ZapfDingbatsStd" w:hAnsi="HelveticaNeueLTStd-Blk" w:cs="HelveticaNeueLTStd-Blk"/>
          <w:color w:val="0096DB"/>
          <w:sz w:val="24"/>
          <w:szCs w:val="24"/>
        </w:rPr>
        <w:t xml:space="preserve">23 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Nombra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las características de la escultura renacentista.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</w:pPr>
      <w:r>
        <w:rPr>
          <w:rFonts w:ascii="ZapfDingbatsStd" w:eastAsia="ZapfDingbatsStd" w:cs="ZapfDingbatsStd" w:hint="eastAsia"/>
          <w:color w:val="EE1D24"/>
          <w:sz w:val="21"/>
          <w:szCs w:val="21"/>
        </w:rPr>
        <w:t>▼</w:t>
      </w:r>
      <w:r>
        <w:rPr>
          <w:rFonts w:ascii="ZapfDingbatsStd" w:eastAsia="ZapfDingbatsStd" w:cs="ZapfDingbatsStd"/>
          <w:color w:val="EE1D24"/>
          <w:sz w:val="21"/>
          <w:szCs w:val="21"/>
        </w:rPr>
        <w:t xml:space="preserve"> </w:t>
      </w:r>
      <w:r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  <w:t>Obtener información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NeueLTStd-Blk" w:eastAsia="ZapfDingbatsStd" w:hAnsi="HelveticaNeueLTStd-Blk" w:cs="HelveticaNeueLTStd-Blk"/>
          <w:color w:val="0096DB"/>
          <w:sz w:val="24"/>
          <w:szCs w:val="24"/>
        </w:rPr>
        <w:t xml:space="preserve">24 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Escribe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junto a cada escultor sus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obras más representativas.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a) Alonso de Berruguete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....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.……………………….…………………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………………….............................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.............................................................................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b) Juan de Juni …………………………………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…….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…………………………………….............................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.................................................................................................................................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</w:pPr>
      <w:r>
        <w:rPr>
          <w:rFonts w:ascii="ZapfDingbatsStd" w:eastAsia="ZapfDingbatsStd" w:cs="ZapfDingbatsStd" w:hint="eastAsia"/>
          <w:color w:val="EE1D24"/>
          <w:sz w:val="21"/>
          <w:szCs w:val="21"/>
        </w:rPr>
        <w:t>▼</w:t>
      </w:r>
      <w:r>
        <w:rPr>
          <w:rFonts w:ascii="ZapfDingbatsStd" w:eastAsia="ZapfDingbatsStd" w:cs="ZapfDingbatsStd"/>
          <w:color w:val="EE1D24"/>
          <w:sz w:val="21"/>
          <w:szCs w:val="21"/>
        </w:rPr>
        <w:t xml:space="preserve"> </w:t>
      </w:r>
      <w:r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  <w:t>Relacionar informaciones</w:t>
      </w:r>
    </w:p>
    <w:p w:rsidR="00115463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NeueLTStd-Blk" w:eastAsia="ZapfDingbatsStd" w:hAnsi="HelveticaNeueLTStd-Blk" w:cs="HelveticaNeueLTStd-Blk"/>
          <w:color w:val="0096DB"/>
          <w:sz w:val="24"/>
          <w:szCs w:val="24"/>
        </w:rPr>
        <w:t xml:space="preserve">25 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Relaciona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las siguientes obras y características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con un estilo arquitectónico: a) El Escorial; b) Palacio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de Carlos I; c) Universidad de Salamanca; d)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decoración muy minuciosa; e) formas simples; f)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aumento del tamaño de la decoración.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noProof/>
          <w:color w:val="000000"/>
          <w:sz w:val="21"/>
          <w:szCs w:val="21"/>
        </w:rPr>
        <w:drawing>
          <wp:inline distT="0" distB="0" distL="0" distR="0">
            <wp:extent cx="2475230" cy="2047875"/>
            <wp:effectExtent l="0" t="0" r="1270" b="952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5230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</w:pPr>
      <w:r>
        <w:rPr>
          <w:rFonts w:ascii="ZapfDingbatsStd" w:eastAsia="ZapfDingbatsStd" w:cs="ZapfDingbatsStd" w:hint="eastAsia"/>
          <w:color w:val="EE1D24"/>
          <w:sz w:val="21"/>
          <w:szCs w:val="21"/>
        </w:rPr>
        <w:t>▼</w:t>
      </w:r>
      <w:r>
        <w:rPr>
          <w:rFonts w:ascii="ZapfDingbatsStd" w:eastAsia="ZapfDingbatsStd" w:cs="ZapfDingbatsStd"/>
          <w:color w:val="EE1D24"/>
          <w:sz w:val="21"/>
          <w:szCs w:val="21"/>
        </w:rPr>
        <w:t xml:space="preserve"> </w:t>
      </w:r>
      <w:r>
        <w:rPr>
          <w:rFonts w:ascii="HelveticaLTStd-Bold" w:eastAsia="ZapfDingbatsStd" w:hAnsi="HelveticaLTStd-Bold" w:cs="HelveticaLTStd-Bold"/>
          <w:b/>
          <w:bCs/>
          <w:color w:val="005BAB"/>
          <w:sz w:val="21"/>
          <w:szCs w:val="21"/>
        </w:rPr>
        <w:t>Analizar estilos, artistas y obras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NeueLTStd-Blk" w:eastAsia="ZapfDingbatsStd" w:hAnsi="HelveticaNeueLTStd-Blk" w:cs="HelveticaNeueLTStd-Blk"/>
          <w:color w:val="0096DB"/>
          <w:sz w:val="24"/>
          <w:szCs w:val="24"/>
        </w:rPr>
        <w:t xml:space="preserve">26 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Describe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el monasterio-palacio de El Escorial, indicando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como mínimo sus dependencias y algunas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características del estilo.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noProof/>
          <w:color w:val="000000"/>
          <w:sz w:val="21"/>
          <w:szCs w:val="21"/>
        </w:rPr>
        <w:drawing>
          <wp:inline distT="0" distB="0" distL="0" distR="0">
            <wp:extent cx="3038475" cy="2409825"/>
            <wp:effectExtent l="0" t="0" r="9525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……………………………………………………………………………………………………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NeueLTStd-Blk" w:eastAsia="ZapfDingbatsStd" w:hAnsi="HelveticaNeueLTStd-Blk" w:cs="HelveticaNeueLTStd-Blk"/>
          <w:color w:val="0096DB"/>
          <w:sz w:val="24"/>
          <w:szCs w:val="24"/>
        </w:rPr>
        <w:t xml:space="preserve">27 </w:t>
      </w:r>
      <w:proofErr w:type="gramStart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Escribe</w:t>
      </w:r>
      <w:proofErr w:type="gramEnd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 xml:space="preserve"> las características de la pintura de El Greco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que se aprecian en este cuadro.</w:t>
      </w:r>
    </w:p>
    <w:p w:rsid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noProof/>
          <w:color w:val="000000"/>
          <w:sz w:val="21"/>
          <w:szCs w:val="21"/>
        </w:rPr>
        <w:drawing>
          <wp:inline distT="0" distB="0" distL="0" distR="0">
            <wp:extent cx="2740641" cy="3086100"/>
            <wp:effectExtent l="0" t="0" r="317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3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897" cy="3099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5D34" w:rsidRPr="00725D34" w:rsidRDefault="00725D34" w:rsidP="00725D34">
      <w:pPr>
        <w:autoSpaceDE w:val="0"/>
        <w:autoSpaceDN w:val="0"/>
        <w:adjustRightInd w:val="0"/>
        <w:spacing w:after="0" w:line="240" w:lineRule="auto"/>
        <w:rPr>
          <w:rFonts w:ascii="HelveticaLTStd-Roman" w:eastAsia="ZapfDingbatsStd" w:hAnsi="HelveticaLTStd-Roman" w:cs="HelveticaLTStd-Roman"/>
          <w:color w:val="000000"/>
          <w:sz w:val="21"/>
          <w:szCs w:val="21"/>
        </w:rPr>
      </w:pP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</w:t>
      </w:r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…………………………………………………………………………………………………………</w:t>
      </w:r>
      <w:bookmarkStart w:id="0" w:name="_GoBack"/>
      <w:bookmarkEnd w:id="0"/>
      <w:r>
        <w:rPr>
          <w:rFonts w:ascii="HelveticaLTStd-Roman" w:eastAsia="ZapfDingbatsStd" w:hAnsi="HelveticaLTStd-Roman" w:cs="HelveticaLTStd-Roman"/>
          <w:color w:val="000000"/>
          <w:sz w:val="21"/>
          <w:szCs w:val="21"/>
        </w:rPr>
        <w:t>……</w:t>
      </w:r>
    </w:p>
    <w:sectPr w:rsidR="00725D34" w:rsidRPr="00725D34" w:rsidSect="00725D34">
      <w:type w:val="continuous"/>
      <w:pgSz w:w="11906" w:h="16838"/>
      <w:pgMar w:top="1417" w:right="1701" w:bottom="1417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HelveticaLTStd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inionPro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LTStd-Blk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inionPro-I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ZapfDingbatsStd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eticaNeueLTStd-Blk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LTStd-Roman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463"/>
    <w:rsid w:val="00115463"/>
    <w:rsid w:val="00725D34"/>
    <w:rsid w:val="00915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822A9"/>
  <w15:chartTrackingRefBased/>
  <w15:docId w15:val="{D720DB2B-B3B1-423C-B8AD-CD21081FB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641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Cortes</dc:creator>
  <cp:keywords/>
  <dc:description/>
  <cp:lastModifiedBy>Francisco Cortes</cp:lastModifiedBy>
  <cp:revision>1</cp:revision>
  <dcterms:created xsi:type="dcterms:W3CDTF">2020-03-25T20:27:00Z</dcterms:created>
  <dcterms:modified xsi:type="dcterms:W3CDTF">2020-03-25T20:49:00Z</dcterms:modified>
</cp:coreProperties>
</file>